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Default="00907451" w:rsidP="000607BA">
      <w:pPr>
        <w:spacing w:after="0" w:line="360" w:lineRule="auto"/>
        <w:jc w:val="both"/>
        <w:rPr>
          <w:rFonts w:ascii="Palatino Linotype" w:hAnsi="Palatino Linotype"/>
          <w:b/>
          <w:sz w:val="24"/>
          <w:szCs w:val="24"/>
        </w:rPr>
      </w:pPr>
      <w:r>
        <w:rPr>
          <w:rFonts w:ascii="Palatino Linotype" w:hAnsi="Palatino Linotype"/>
          <w:b/>
          <w:sz w:val="24"/>
          <w:szCs w:val="24"/>
        </w:rPr>
        <w:t>VOTO</w:t>
      </w:r>
      <w:r w:rsidR="000607BA">
        <w:rPr>
          <w:rFonts w:ascii="Palatino Linotype" w:hAnsi="Palatino Linotype"/>
          <w:b/>
          <w:sz w:val="24"/>
          <w:szCs w:val="24"/>
        </w:rPr>
        <w:t xml:space="preserve"> PARTICULAR </w:t>
      </w:r>
      <w:r>
        <w:rPr>
          <w:rFonts w:ascii="Palatino Linotype" w:hAnsi="Palatino Linotype"/>
          <w:b/>
          <w:sz w:val="24"/>
          <w:szCs w:val="24"/>
        </w:rPr>
        <w:t xml:space="preserve">CONCURRENTE </w:t>
      </w:r>
      <w:r w:rsidR="000607BA">
        <w:rPr>
          <w:rFonts w:ascii="Palatino Linotype" w:hAnsi="Palatino Linotype"/>
          <w:b/>
          <w:sz w:val="24"/>
          <w:szCs w:val="24"/>
        </w:rPr>
        <w:t>QUE FORMULA</w:t>
      </w:r>
      <w:r>
        <w:rPr>
          <w:rFonts w:ascii="Palatino Linotype" w:hAnsi="Palatino Linotype"/>
          <w:b/>
          <w:sz w:val="24"/>
          <w:szCs w:val="24"/>
        </w:rPr>
        <w:t>N</w:t>
      </w:r>
      <w:r w:rsidR="000607BA">
        <w:rPr>
          <w:rFonts w:ascii="Palatino Linotype" w:hAnsi="Palatino Linotype"/>
          <w:b/>
          <w:sz w:val="24"/>
          <w:szCs w:val="24"/>
        </w:rPr>
        <w:t xml:space="preserve"> </w:t>
      </w:r>
      <w:r w:rsidR="003F066F">
        <w:rPr>
          <w:rFonts w:ascii="Palatino Linotype" w:hAnsi="Palatino Linotype"/>
          <w:b/>
          <w:sz w:val="24"/>
          <w:szCs w:val="24"/>
        </w:rPr>
        <w:t>EL C</w:t>
      </w:r>
      <w:r w:rsidR="00B438A9">
        <w:rPr>
          <w:rFonts w:ascii="Palatino Linotype" w:hAnsi="Palatino Linotype"/>
          <w:b/>
          <w:sz w:val="24"/>
          <w:szCs w:val="24"/>
        </w:rPr>
        <w:t>OMISIONADO JAVIER MARTÍNEZ CRUZ</w:t>
      </w:r>
      <w:r w:rsidR="003F066F">
        <w:rPr>
          <w:rFonts w:ascii="Palatino Linotype" w:hAnsi="Palatino Linotype"/>
          <w:b/>
          <w:sz w:val="24"/>
          <w:szCs w:val="24"/>
        </w:rPr>
        <w:t xml:space="preserve"> Y LA</w:t>
      </w:r>
      <w:r w:rsidR="000607BA">
        <w:rPr>
          <w:rFonts w:ascii="Palatino Linotype" w:hAnsi="Palatino Linotype"/>
          <w:b/>
          <w:sz w:val="24"/>
          <w:szCs w:val="24"/>
        </w:rPr>
        <w:t xml:space="preserve"> COMISIONADA</w:t>
      </w:r>
      <w:r w:rsidR="00F307C5">
        <w:rPr>
          <w:rFonts w:ascii="Palatino Linotype" w:hAnsi="Palatino Linotype"/>
          <w:b/>
          <w:sz w:val="24"/>
          <w:szCs w:val="24"/>
        </w:rPr>
        <w:t xml:space="preserve"> PRESIDENTA</w:t>
      </w:r>
      <w:r w:rsidR="000607BA" w:rsidRPr="00563D0F">
        <w:rPr>
          <w:rFonts w:ascii="Palatino Linotype" w:hAnsi="Palatino Linotype"/>
          <w:b/>
          <w:sz w:val="24"/>
          <w:szCs w:val="24"/>
        </w:rPr>
        <w:t xml:space="preserve"> ZULEMA MARTÍNEZ SÁNCHEZ, EN RELACIÓN CON LA RESOLUCIÓN DICTADA POR EL PLENO D</w:t>
      </w:r>
      <w:r w:rsidR="000607BA">
        <w:rPr>
          <w:rFonts w:ascii="Palatino Linotype" w:hAnsi="Palatino Linotype"/>
          <w:b/>
          <w:sz w:val="24"/>
          <w:szCs w:val="24"/>
        </w:rPr>
        <w:t xml:space="preserve">EL INSTITUTO DE TRANSPARENCIA, </w:t>
      </w:r>
      <w:r w:rsidR="000607BA" w:rsidRPr="00563D0F">
        <w:rPr>
          <w:rFonts w:ascii="Palatino Linotype" w:hAnsi="Palatino Linotype"/>
          <w:b/>
          <w:sz w:val="24"/>
          <w:szCs w:val="24"/>
        </w:rPr>
        <w:t xml:space="preserve">ACCESO A LA INFORMACIÓN PÚBLICA Y PROTECCIÓN DE DATOS PERSONALES DEL ESTADO DE MÉXICO Y MUNICIPIOS, EN LA </w:t>
      </w:r>
      <w:r w:rsidR="002B055E">
        <w:rPr>
          <w:rFonts w:ascii="Palatino Linotype" w:hAnsi="Palatino Linotype"/>
          <w:b/>
          <w:sz w:val="24"/>
          <w:szCs w:val="24"/>
        </w:rPr>
        <w:t>SEGUNDA SESIÓN</w:t>
      </w:r>
      <w:r w:rsidR="00F307C5">
        <w:rPr>
          <w:rFonts w:ascii="Palatino Linotype" w:hAnsi="Palatino Linotype"/>
          <w:b/>
          <w:sz w:val="24"/>
          <w:szCs w:val="24"/>
        </w:rPr>
        <w:t xml:space="preserve"> </w:t>
      </w:r>
      <w:r w:rsidR="000607BA" w:rsidRPr="00563D0F">
        <w:rPr>
          <w:rFonts w:ascii="Palatino Linotype" w:hAnsi="Palatino Linotype"/>
          <w:b/>
          <w:sz w:val="24"/>
          <w:szCs w:val="24"/>
        </w:rPr>
        <w:t>ORDINARIA DE</w:t>
      </w:r>
      <w:r w:rsidR="000607BA">
        <w:rPr>
          <w:rFonts w:ascii="Palatino Linotype" w:hAnsi="Palatino Linotype"/>
          <w:b/>
          <w:sz w:val="24"/>
          <w:szCs w:val="24"/>
        </w:rPr>
        <w:t>L</w:t>
      </w:r>
      <w:r w:rsidR="000607BA" w:rsidRPr="00563D0F">
        <w:rPr>
          <w:rFonts w:ascii="Palatino Linotype" w:hAnsi="Palatino Linotype"/>
          <w:b/>
          <w:sz w:val="24"/>
          <w:szCs w:val="24"/>
        </w:rPr>
        <w:t xml:space="preserve"> </w:t>
      </w:r>
      <w:r w:rsidR="002B055E">
        <w:rPr>
          <w:rFonts w:ascii="Palatino Linotype" w:hAnsi="Palatino Linotype"/>
          <w:b/>
          <w:sz w:val="24"/>
          <w:szCs w:val="24"/>
        </w:rPr>
        <w:t>DIECISÉIS DE ENERO DE DOS MIL DIECINUEVE</w:t>
      </w:r>
      <w:r w:rsidR="000607BA">
        <w:rPr>
          <w:rFonts w:ascii="Palatino Linotype" w:hAnsi="Palatino Linotype"/>
          <w:b/>
          <w:sz w:val="24"/>
          <w:szCs w:val="24"/>
        </w:rPr>
        <w:t>, EN EL</w:t>
      </w:r>
      <w:r w:rsidR="000607BA" w:rsidRPr="00563D0F">
        <w:rPr>
          <w:rFonts w:ascii="Palatino Linotype" w:hAnsi="Palatino Linotype"/>
          <w:b/>
          <w:sz w:val="24"/>
          <w:szCs w:val="24"/>
        </w:rPr>
        <w:t xml:space="preserve"> RECURSO DE REVISIÓN </w:t>
      </w:r>
      <w:r w:rsidR="000607BA">
        <w:rPr>
          <w:rFonts w:ascii="Palatino Linotype" w:hAnsi="Palatino Linotype"/>
          <w:b/>
          <w:sz w:val="24"/>
          <w:szCs w:val="24"/>
        </w:rPr>
        <w:t>0</w:t>
      </w:r>
      <w:r w:rsidR="002B055E">
        <w:rPr>
          <w:rFonts w:ascii="Palatino Linotype" w:hAnsi="Palatino Linotype"/>
          <w:b/>
          <w:sz w:val="24"/>
          <w:szCs w:val="24"/>
        </w:rPr>
        <w:t>4106</w:t>
      </w:r>
      <w:r w:rsidR="000607BA">
        <w:rPr>
          <w:rFonts w:ascii="Palatino Linotype" w:hAnsi="Palatino Linotype"/>
          <w:b/>
          <w:sz w:val="24"/>
          <w:szCs w:val="24"/>
        </w:rPr>
        <w:t>/</w:t>
      </w:r>
      <w:r w:rsidR="00F307C5">
        <w:rPr>
          <w:rFonts w:ascii="Palatino Linotype" w:hAnsi="Palatino Linotype"/>
          <w:b/>
          <w:sz w:val="24"/>
          <w:szCs w:val="24"/>
        </w:rPr>
        <w:t>INFOEM</w:t>
      </w:r>
      <w:r w:rsidR="000607BA">
        <w:rPr>
          <w:rFonts w:ascii="Palatino Linotype" w:hAnsi="Palatino Linotype"/>
          <w:b/>
          <w:sz w:val="24"/>
          <w:szCs w:val="24"/>
        </w:rPr>
        <w:t>/IP/RR/201</w:t>
      </w:r>
      <w:r w:rsidR="002B055E">
        <w:rPr>
          <w:rFonts w:ascii="Palatino Linotype" w:hAnsi="Palatino Linotype"/>
          <w:b/>
          <w:sz w:val="24"/>
          <w:szCs w:val="24"/>
        </w:rPr>
        <w:t>8</w:t>
      </w:r>
      <w:r w:rsidR="000607BA">
        <w:rPr>
          <w:rFonts w:ascii="Palatino Linotype" w:hAnsi="Palatino Linotype"/>
          <w:b/>
          <w:sz w:val="24"/>
          <w:szCs w:val="24"/>
        </w:rPr>
        <w:t>.</w:t>
      </w:r>
    </w:p>
    <w:p w:rsidR="000607BA" w:rsidRPr="00563D0F" w:rsidRDefault="000607BA" w:rsidP="000607BA">
      <w:pPr>
        <w:spacing w:after="0" w:line="360" w:lineRule="auto"/>
        <w:jc w:val="both"/>
        <w:rPr>
          <w:rFonts w:ascii="Palatino Linotype" w:hAnsi="Palatino Linotype"/>
          <w:b/>
          <w:sz w:val="24"/>
          <w:szCs w:val="24"/>
        </w:rPr>
      </w:pPr>
    </w:p>
    <w:p w:rsidR="000607BA" w:rsidRDefault="000607BA" w:rsidP="000607BA">
      <w:pPr>
        <w:spacing w:after="0" w:line="360" w:lineRule="auto"/>
        <w:jc w:val="both"/>
        <w:rPr>
          <w:rFonts w:ascii="Palatino Linotype" w:hAnsi="Palatino Linotype"/>
          <w:sz w:val="24"/>
          <w:szCs w:val="24"/>
        </w:rPr>
      </w:pPr>
      <w:r w:rsidRPr="009A256B">
        <w:rPr>
          <w:rFonts w:ascii="Palatino Linotype" w:hAnsi="Palatino Linotype"/>
          <w:sz w:val="24"/>
          <w:szCs w:val="24"/>
        </w:rPr>
        <w:t xml:space="preserve">Con fundamento en lo dispuesto por el artículo </w:t>
      </w:r>
      <w:r w:rsidR="00B438A9">
        <w:rPr>
          <w:rFonts w:ascii="Palatino Linotype" w:hAnsi="Palatino Linotype"/>
        </w:rPr>
        <w:t>14 fracción</w:t>
      </w:r>
      <w:r w:rsidR="00B438A9" w:rsidRPr="00506B07">
        <w:rPr>
          <w:rFonts w:ascii="Palatino Linotype" w:hAnsi="Palatino Linotype"/>
        </w:rPr>
        <w:t xml:space="preserve"> </w:t>
      </w:r>
      <w:r w:rsidR="00B438A9">
        <w:rPr>
          <w:rFonts w:ascii="Palatino Linotype" w:hAnsi="Palatino Linotype"/>
        </w:rPr>
        <w:t>XI</w:t>
      </w:r>
      <w:r w:rsidR="00B438A9" w:rsidRPr="009A256B">
        <w:rPr>
          <w:rFonts w:ascii="Palatino Linotype" w:hAnsi="Palatino Linotype"/>
          <w:sz w:val="24"/>
          <w:szCs w:val="24"/>
        </w:rPr>
        <w:t xml:space="preserve">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sidR="00F307C5">
        <w:rPr>
          <w:rFonts w:ascii="Palatino Linotype" w:hAnsi="Palatino Linotype"/>
          <w:sz w:val="24"/>
          <w:szCs w:val="24"/>
        </w:rPr>
        <w:t>de México y Municipios, el</w:t>
      </w:r>
      <w:r w:rsidRPr="009A256B">
        <w:rPr>
          <w:rFonts w:ascii="Palatino Linotype" w:hAnsi="Palatino Linotype"/>
          <w:sz w:val="24"/>
          <w:szCs w:val="24"/>
        </w:rPr>
        <w:t xml:space="preserve"> Comisionad</w:t>
      </w:r>
      <w:r w:rsidR="00F307C5">
        <w:rPr>
          <w:rFonts w:ascii="Palatino Linotype" w:hAnsi="Palatino Linotype"/>
          <w:sz w:val="24"/>
          <w:szCs w:val="24"/>
        </w:rPr>
        <w:t>o</w:t>
      </w:r>
      <w:r w:rsidR="006C34A1">
        <w:rPr>
          <w:rFonts w:ascii="Palatino Linotype" w:hAnsi="Palatino Linotype"/>
          <w:sz w:val="24"/>
          <w:szCs w:val="24"/>
        </w:rPr>
        <w:t xml:space="preserve"> Javier Martínez Cruz</w:t>
      </w:r>
      <w:r w:rsidR="003F066F">
        <w:rPr>
          <w:rFonts w:ascii="Palatino Linotype" w:hAnsi="Palatino Linotype"/>
          <w:sz w:val="24"/>
          <w:szCs w:val="24"/>
        </w:rPr>
        <w:t xml:space="preserve"> y</w:t>
      </w:r>
      <w:r w:rsidR="00F307C5">
        <w:rPr>
          <w:rFonts w:ascii="Palatino Linotype" w:hAnsi="Palatino Linotype"/>
          <w:sz w:val="24"/>
          <w:szCs w:val="24"/>
        </w:rPr>
        <w:t xml:space="preserve"> la Comisionada Presidenta</w:t>
      </w:r>
      <w:r w:rsidR="003F066F">
        <w:rPr>
          <w:rFonts w:ascii="Palatino Linotype" w:hAnsi="Palatino Linotype"/>
          <w:sz w:val="24"/>
          <w:szCs w:val="24"/>
        </w:rPr>
        <w:t xml:space="preserve"> </w:t>
      </w:r>
      <w:r w:rsidR="003F066F" w:rsidRPr="009A256B">
        <w:rPr>
          <w:rFonts w:ascii="Palatino Linotype" w:hAnsi="Palatino Linotype"/>
          <w:sz w:val="24"/>
          <w:szCs w:val="24"/>
        </w:rPr>
        <w:t>Zulema Martínez Sánchez</w:t>
      </w:r>
      <w:r w:rsidR="006C34A1">
        <w:rPr>
          <w:rFonts w:ascii="Palatino Linotype" w:hAnsi="Palatino Linotype"/>
          <w:sz w:val="24"/>
          <w:szCs w:val="24"/>
        </w:rPr>
        <w:t xml:space="preserve"> </w:t>
      </w:r>
      <w:r w:rsidRPr="009A256B">
        <w:rPr>
          <w:rFonts w:ascii="Palatino Linotype" w:hAnsi="Palatino Linotype"/>
          <w:sz w:val="24"/>
          <w:szCs w:val="24"/>
        </w:rPr>
        <w:t>emite</w:t>
      </w:r>
      <w:r w:rsidR="006C34A1">
        <w:rPr>
          <w:rFonts w:ascii="Palatino Linotype" w:hAnsi="Palatino Linotype"/>
          <w:sz w:val="24"/>
          <w:szCs w:val="24"/>
        </w:rPr>
        <w:t>n</w:t>
      </w:r>
      <w:r w:rsidRPr="009A256B">
        <w:rPr>
          <w:rFonts w:ascii="Palatino Linotype" w:hAnsi="Palatino Linotype"/>
          <w:sz w:val="24"/>
          <w:szCs w:val="24"/>
        </w:rPr>
        <w:t xml:space="preserve"> </w:t>
      </w:r>
      <w:r w:rsidR="006C34A1" w:rsidRPr="002B055E">
        <w:rPr>
          <w:rFonts w:ascii="Palatino Linotype" w:hAnsi="Palatino Linotype"/>
          <w:b/>
          <w:sz w:val="24"/>
          <w:szCs w:val="24"/>
        </w:rPr>
        <w:t>VOTO</w:t>
      </w:r>
      <w:r w:rsidRPr="002B055E">
        <w:rPr>
          <w:rFonts w:ascii="Palatino Linotype" w:hAnsi="Palatino Linotype"/>
          <w:b/>
          <w:sz w:val="24"/>
          <w:szCs w:val="24"/>
        </w:rPr>
        <w:t xml:space="preserve"> PARTICULAR</w:t>
      </w:r>
      <w:r w:rsidR="006C34A1" w:rsidRPr="002B055E">
        <w:rPr>
          <w:rFonts w:ascii="Palatino Linotype" w:hAnsi="Palatino Linotype"/>
          <w:b/>
          <w:sz w:val="24"/>
          <w:szCs w:val="24"/>
        </w:rPr>
        <w:t xml:space="preserve"> CONCURRENTE</w:t>
      </w:r>
      <w:r w:rsidRPr="002B055E">
        <w:rPr>
          <w:rFonts w:ascii="Palatino Linotype" w:hAnsi="Palatino Linotype"/>
          <w:b/>
          <w:sz w:val="24"/>
          <w:szCs w:val="24"/>
        </w:rPr>
        <w:t xml:space="preserve"> </w:t>
      </w:r>
      <w:r w:rsidRPr="009A256B">
        <w:rPr>
          <w:rFonts w:ascii="Palatino Linotype" w:hAnsi="Palatino Linotype"/>
          <w:sz w:val="24"/>
          <w:szCs w:val="24"/>
        </w:rPr>
        <w:t>respecto a la resolución dictada en el recurso de revisión</w:t>
      </w:r>
      <w:r>
        <w:rPr>
          <w:rFonts w:ascii="Palatino Linotype" w:hAnsi="Palatino Linotype"/>
          <w:sz w:val="24"/>
          <w:szCs w:val="24"/>
        </w:rPr>
        <w:t xml:space="preserve"> número</w:t>
      </w:r>
      <w:r w:rsidRPr="009A256B">
        <w:rPr>
          <w:rFonts w:ascii="Palatino Linotype" w:hAnsi="Palatino Linotype"/>
          <w:sz w:val="24"/>
          <w:szCs w:val="24"/>
        </w:rPr>
        <w:t xml:space="preserve"> </w:t>
      </w:r>
      <w:r w:rsidR="00B02DEB" w:rsidRPr="002B055E">
        <w:rPr>
          <w:rFonts w:ascii="Palatino Linotype" w:hAnsi="Palatino Linotype"/>
          <w:b/>
          <w:sz w:val="24"/>
          <w:szCs w:val="24"/>
        </w:rPr>
        <w:t>0</w:t>
      </w:r>
      <w:r w:rsidR="002B055E" w:rsidRPr="002B055E">
        <w:rPr>
          <w:rFonts w:ascii="Palatino Linotype" w:hAnsi="Palatino Linotype"/>
          <w:b/>
          <w:sz w:val="24"/>
          <w:szCs w:val="24"/>
        </w:rPr>
        <w:t>4106</w:t>
      </w:r>
      <w:r w:rsidRPr="002B055E">
        <w:rPr>
          <w:rFonts w:ascii="Palatino Linotype" w:hAnsi="Palatino Linotype"/>
          <w:b/>
          <w:sz w:val="24"/>
          <w:szCs w:val="24"/>
        </w:rPr>
        <w:t>/INFOEM/IP/RR/201</w:t>
      </w:r>
      <w:r w:rsidR="002B055E" w:rsidRPr="002B055E">
        <w:rPr>
          <w:rFonts w:ascii="Palatino Linotype" w:hAnsi="Palatino Linotype"/>
          <w:b/>
          <w:sz w:val="24"/>
          <w:szCs w:val="24"/>
        </w:rPr>
        <w:t>8</w:t>
      </w:r>
      <w:r w:rsidRPr="009A256B">
        <w:rPr>
          <w:rFonts w:ascii="Palatino Linotype" w:hAnsi="Palatino Linotype"/>
          <w:sz w:val="24"/>
          <w:szCs w:val="24"/>
        </w:rPr>
        <w:t xml:space="preserve">, pronunciada por el Pleno de este Instituto ante el proyecto presentado por </w:t>
      </w:r>
      <w:r w:rsidR="002B055E">
        <w:rPr>
          <w:rFonts w:ascii="Palatino Linotype" w:hAnsi="Palatino Linotype"/>
          <w:sz w:val="24"/>
          <w:szCs w:val="24"/>
        </w:rPr>
        <w:t>el</w:t>
      </w:r>
      <w:r w:rsidRPr="009A256B">
        <w:rPr>
          <w:rFonts w:ascii="Palatino Linotype" w:hAnsi="Palatino Linotype"/>
          <w:sz w:val="24"/>
          <w:szCs w:val="24"/>
        </w:rPr>
        <w:t xml:space="preserve"> Comisionad</w:t>
      </w:r>
      <w:r w:rsidR="002B055E">
        <w:rPr>
          <w:rFonts w:ascii="Palatino Linotype" w:hAnsi="Palatino Linotype"/>
          <w:sz w:val="24"/>
          <w:szCs w:val="24"/>
        </w:rPr>
        <w:t>o</w:t>
      </w:r>
      <w:r w:rsidR="000906EA">
        <w:rPr>
          <w:rFonts w:ascii="Palatino Linotype" w:hAnsi="Palatino Linotype"/>
          <w:sz w:val="24"/>
          <w:szCs w:val="24"/>
        </w:rPr>
        <w:t xml:space="preserve"> </w:t>
      </w:r>
      <w:r w:rsidR="002B055E" w:rsidRPr="002B055E">
        <w:rPr>
          <w:rFonts w:ascii="Palatino Linotype" w:hAnsi="Palatino Linotype"/>
          <w:bCs/>
          <w:sz w:val="24"/>
          <w:szCs w:val="24"/>
        </w:rPr>
        <w:t>Luis Gustavo Parra Noriega</w:t>
      </w:r>
      <w:r w:rsidRPr="009A256B">
        <w:rPr>
          <w:rFonts w:ascii="Palatino Linotype" w:hAnsi="Palatino Linotype"/>
          <w:sz w:val="24"/>
          <w:szCs w:val="24"/>
        </w:rPr>
        <w:t xml:space="preserve">, que es del tenor siguiente: </w:t>
      </w:r>
    </w:p>
    <w:p w:rsidR="000607BA" w:rsidRDefault="000607BA" w:rsidP="000607BA">
      <w:pPr>
        <w:spacing w:after="0" w:line="360" w:lineRule="auto"/>
        <w:jc w:val="both"/>
        <w:rPr>
          <w:rFonts w:ascii="Palatino Linotype" w:hAnsi="Palatino Linotype"/>
          <w:sz w:val="24"/>
          <w:szCs w:val="24"/>
        </w:rPr>
      </w:pPr>
    </w:p>
    <w:p w:rsidR="00871E5D" w:rsidRDefault="002B055E" w:rsidP="00871E5D">
      <w:pPr>
        <w:spacing w:after="0" w:line="360" w:lineRule="auto"/>
        <w:jc w:val="both"/>
        <w:rPr>
          <w:rFonts w:ascii="Palatino Linotype" w:hAnsi="Palatino Linotype"/>
          <w:sz w:val="23"/>
          <w:szCs w:val="23"/>
        </w:rPr>
      </w:pPr>
      <w:r w:rsidRPr="00422884">
        <w:rPr>
          <w:rFonts w:ascii="Palatino Linotype" w:hAnsi="Palatino Linotype"/>
          <w:sz w:val="23"/>
          <w:szCs w:val="23"/>
        </w:rPr>
        <w:t>Antes de platear el punto sobre el cual versa el presente voto</w:t>
      </w:r>
      <w:r>
        <w:rPr>
          <w:rFonts w:ascii="Palatino Linotype" w:hAnsi="Palatino Linotype"/>
          <w:sz w:val="23"/>
          <w:szCs w:val="23"/>
        </w:rPr>
        <w:t xml:space="preserve"> concurrente</w:t>
      </w:r>
      <w:r w:rsidRPr="00422884">
        <w:rPr>
          <w:rFonts w:ascii="Palatino Linotype" w:hAnsi="Palatino Linotype"/>
          <w:sz w:val="23"/>
          <w:szCs w:val="23"/>
        </w:rPr>
        <w:t xml:space="preserve">, es de suma importancia mencionar que </w:t>
      </w:r>
      <w:r>
        <w:rPr>
          <w:rFonts w:ascii="Palatino Linotype" w:hAnsi="Palatino Linotype"/>
          <w:sz w:val="23"/>
          <w:szCs w:val="23"/>
        </w:rPr>
        <w:t>los</w:t>
      </w:r>
      <w:r w:rsidRPr="00422884">
        <w:rPr>
          <w:rFonts w:ascii="Palatino Linotype" w:hAnsi="Palatino Linotype"/>
          <w:sz w:val="23"/>
          <w:szCs w:val="23"/>
        </w:rPr>
        <w:t xml:space="preserve"> suscrito</w:t>
      </w:r>
      <w:r>
        <w:rPr>
          <w:rFonts w:ascii="Palatino Linotype" w:hAnsi="Palatino Linotype"/>
          <w:sz w:val="23"/>
          <w:szCs w:val="23"/>
        </w:rPr>
        <w:t>s</w:t>
      </w:r>
      <w:r w:rsidRPr="00422884">
        <w:rPr>
          <w:rFonts w:ascii="Palatino Linotype" w:hAnsi="Palatino Linotype"/>
          <w:sz w:val="23"/>
          <w:szCs w:val="23"/>
        </w:rPr>
        <w:t xml:space="preserve"> en términos generales coincid</w:t>
      </w:r>
      <w:r>
        <w:rPr>
          <w:rFonts w:ascii="Palatino Linotype" w:hAnsi="Palatino Linotype"/>
          <w:sz w:val="23"/>
          <w:szCs w:val="23"/>
        </w:rPr>
        <w:t>imos</w:t>
      </w:r>
      <w:r w:rsidRPr="00422884">
        <w:rPr>
          <w:rFonts w:ascii="Palatino Linotype" w:hAnsi="Palatino Linotype"/>
          <w:sz w:val="23"/>
          <w:szCs w:val="23"/>
        </w:rPr>
        <w:t xml:space="preserve"> en el sentido de la resolución del recurso de revisión al rubro indicado, lo anterior es así como a continuación se explica:</w:t>
      </w:r>
    </w:p>
    <w:p w:rsidR="002B055E" w:rsidRPr="00871E5D" w:rsidRDefault="00292B73" w:rsidP="00871E5D">
      <w:pPr>
        <w:spacing w:after="0" w:line="360" w:lineRule="auto"/>
        <w:jc w:val="both"/>
        <w:rPr>
          <w:rFonts w:ascii="Palatino Linotype" w:hAnsi="Palatino Linotype"/>
          <w:sz w:val="24"/>
          <w:szCs w:val="24"/>
        </w:rPr>
      </w:pPr>
      <w:r w:rsidRPr="00871E5D">
        <w:rPr>
          <w:rFonts w:ascii="Palatino Linotype" w:hAnsi="Palatino Linotype"/>
          <w:sz w:val="24"/>
          <w:szCs w:val="24"/>
        </w:rPr>
        <w:lastRenderedPageBreak/>
        <w:t>En primer lugar debe precisarse que derivado del análisis de las constancias que integran recurso de revisión se advierte</w:t>
      </w:r>
      <w:r w:rsidR="002B055E" w:rsidRPr="00871E5D">
        <w:rPr>
          <w:rFonts w:ascii="Palatino Linotype" w:hAnsi="Palatino Linotype"/>
          <w:sz w:val="24"/>
          <w:szCs w:val="24"/>
        </w:rPr>
        <w:t xml:space="preserve"> materia en que radicó el recurso de revisión, consistió en que el particular pidió al Ayuntamiento </w:t>
      </w:r>
      <w:r w:rsidRPr="00871E5D">
        <w:rPr>
          <w:rFonts w:ascii="Palatino Linotype" w:hAnsi="Palatino Linotype"/>
          <w:sz w:val="24"/>
          <w:szCs w:val="24"/>
        </w:rPr>
        <w:t xml:space="preserve">de </w:t>
      </w:r>
      <w:proofErr w:type="spellStart"/>
      <w:r w:rsidRPr="00871E5D">
        <w:rPr>
          <w:rFonts w:ascii="Palatino Linotype" w:hAnsi="Palatino Linotype"/>
          <w:sz w:val="24"/>
          <w:szCs w:val="24"/>
        </w:rPr>
        <w:t>Atlautla</w:t>
      </w:r>
      <w:proofErr w:type="spellEnd"/>
      <w:r w:rsidR="002B055E" w:rsidRPr="00871E5D">
        <w:rPr>
          <w:rFonts w:ascii="Palatino Linotype" w:hAnsi="Palatino Linotype"/>
          <w:sz w:val="24"/>
          <w:szCs w:val="24"/>
        </w:rPr>
        <w:t xml:space="preserve">, le proporcionara la información descrita </w:t>
      </w:r>
      <w:r w:rsidR="002B055E" w:rsidRPr="00871E5D">
        <w:rPr>
          <w:rFonts w:ascii="Palatino Linotype" w:eastAsia="Times New Roman" w:hAnsi="Palatino Linotype" w:cs="Tahoma"/>
          <w:bCs/>
          <w:sz w:val="24"/>
          <w:szCs w:val="24"/>
          <w:lang w:val="es-ES" w:eastAsia="es-ES"/>
        </w:rPr>
        <w:t xml:space="preserve">en las fracciones </w:t>
      </w:r>
      <w:r w:rsidRPr="00871E5D">
        <w:rPr>
          <w:rFonts w:ascii="Palatino Linotype" w:hAnsi="Palatino Linotype"/>
          <w:sz w:val="24"/>
          <w:szCs w:val="24"/>
        </w:rPr>
        <w:t>II, VIII, X, XII, XXV, XXVI, XXVIII, XXX, XXXV, XXXVIII, XL, XLVII del artículo 92 de la Ley de Transparencia, Acceso a la Información Pública del Estado de México y Municipios</w:t>
      </w:r>
      <w:r w:rsidR="002B055E" w:rsidRPr="00871E5D">
        <w:rPr>
          <w:rFonts w:ascii="Palatino Linotype" w:eastAsia="Times New Roman" w:hAnsi="Palatino Linotype" w:cs="Tahoma"/>
          <w:bCs/>
          <w:sz w:val="24"/>
          <w:szCs w:val="24"/>
          <w:lang w:val="es-ES" w:eastAsia="es-ES"/>
        </w:rPr>
        <w:t xml:space="preserve">. </w:t>
      </w:r>
    </w:p>
    <w:p w:rsidR="00292B73" w:rsidRPr="00871E5D" w:rsidRDefault="002B055E" w:rsidP="002B055E">
      <w:pPr>
        <w:spacing w:before="240" w:after="240" w:line="360" w:lineRule="auto"/>
        <w:jc w:val="both"/>
        <w:rPr>
          <w:rFonts w:ascii="Palatino Linotype" w:hAnsi="Palatino Linotype"/>
          <w:sz w:val="24"/>
          <w:szCs w:val="24"/>
        </w:rPr>
      </w:pPr>
      <w:r w:rsidRPr="00871E5D">
        <w:rPr>
          <w:rFonts w:ascii="Palatino Linotype" w:hAnsi="Palatino Linotype"/>
          <w:sz w:val="24"/>
          <w:szCs w:val="24"/>
        </w:rPr>
        <w:t xml:space="preserve">El Sujeto Obligado en respuesta </w:t>
      </w:r>
      <w:r w:rsidR="00292B73" w:rsidRPr="00871E5D">
        <w:rPr>
          <w:rFonts w:ascii="Palatino Linotype" w:hAnsi="Palatino Linotype"/>
          <w:sz w:val="24"/>
          <w:szCs w:val="24"/>
        </w:rPr>
        <w:t>ocho archivos electrónicos denominados:</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HIPERVINCULO AL PLAN NACIONAL DE DESARROLLO</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ESTADISTICAS GENERADAS</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USUARIO SAIMEX</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INVENTARIO DE BIENES MUEBLES</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ESTRUCTURA ORGANICA</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INVENTARIO DE ALTAS PRACTICADAS A BIENES MUEBLES</w:t>
      </w:r>
    </w:p>
    <w:p w:rsidR="00292B73"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PROGRAMAS DE SUBSIDIOS ESTIMULOS Y APOYOS.</w:t>
      </w:r>
    </w:p>
    <w:p w:rsidR="002B055E" w:rsidRPr="00871E5D" w:rsidRDefault="00292B73" w:rsidP="00292B73">
      <w:pPr>
        <w:pStyle w:val="Prrafodelista"/>
        <w:numPr>
          <w:ilvl w:val="0"/>
          <w:numId w:val="4"/>
        </w:numPr>
        <w:autoSpaceDE w:val="0"/>
        <w:autoSpaceDN w:val="0"/>
        <w:adjustRightInd w:val="0"/>
        <w:spacing w:line="360" w:lineRule="auto"/>
        <w:jc w:val="both"/>
        <w:rPr>
          <w:rFonts w:ascii="Palatino Linotype" w:hAnsi="Palatino Linotype" w:cs="Tahoma"/>
          <w:b/>
        </w:rPr>
      </w:pPr>
      <w:r w:rsidRPr="00871E5D">
        <w:rPr>
          <w:rFonts w:ascii="Palatino Linotype" w:hAnsi="Palatino Linotype" w:cs="Tahoma"/>
          <w:b/>
        </w:rPr>
        <w:t xml:space="preserve">PLAN NACIONAL DE DESARROLLO NACIONAL. </w:t>
      </w:r>
      <w:r w:rsidR="002B055E" w:rsidRPr="00871E5D">
        <w:rPr>
          <w:rFonts w:ascii="Palatino Linotype" w:hAnsi="Palatino Linotype"/>
          <w:b/>
        </w:rPr>
        <w:t xml:space="preserve"> </w:t>
      </w:r>
    </w:p>
    <w:p w:rsidR="002B055E" w:rsidRPr="00871E5D" w:rsidRDefault="002B055E" w:rsidP="002B055E">
      <w:pPr>
        <w:spacing w:before="240" w:after="240" w:line="360" w:lineRule="auto"/>
        <w:jc w:val="both"/>
        <w:rPr>
          <w:rFonts w:ascii="Palatino Linotype" w:hAnsi="Palatino Linotype"/>
          <w:sz w:val="24"/>
          <w:szCs w:val="24"/>
        </w:rPr>
      </w:pPr>
      <w:r w:rsidRPr="00871E5D">
        <w:rPr>
          <w:rFonts w:ascii="Palatino Linotype" w:hAnsi="Palatino Linotype"/>
          <w:sz w:val="24"/>
          <w:szCs w:val="24"/>
        </w:rPr>
        <w:t xml:space="preserve">Inconforme con las respuestas, el particular procedió a través de los recursos de revisión que se resuelven, manifestando en ambos como </w:t>
      </w:r>
      <w:r w:rsidRPr="00871E5D">
        <w:rPr>
          <w:rFonts w:ascii="Palatino Linotype" w:hAnsi="Palatino Linotype"/>
          <w:b/>
          <w:sz w:val="24"/>
          <w:szCs w:val="24"/>
        </w:rPr>
        <w:t>acto impugnado</w:t>
      </w:r>
      <w:r w:rsidRPr="00871E5D">
        <w:rPr>
          <w:rFonts w:ascii="Palatino Linotype" w:hAnsi="Palatino Linotype"/>
          <w:sz w:val="24"/>
          <w:szCs w:val="24"/>
        </w:rPr>
        <w:t xml:space="preserve"> la entrega de información incompleta concretamente como </w:t>
      </w:r>
      <w:r w:rsidRPr="00871E5D">
        <w:rPr>
          <w:rFonts w:ascii="Palatino Linotype" w:hAnsi="Palatino Linotype"/>
          <w:b/>
          <w:sz w:val="24"/>
          <w:szCs w:val="24"/>
        </w:rPr>
        <w:t xml:space="preserve">motivos de inconformidad </w:t>
      </w:r>
      <w:r w:rsidRPr="00871E5D">
        <w:rPr>
          <w:rFonts w:ascii="Palatino Linotype" w:hAnsi="Palatino Linotype"/>
          <w:sz w:val="24"/>
          <w:szCs w:val="24"/>
        </w:rPr>
        <w:t>que el Sujeto Obligado debe poner a su disposición la información soli</w:t>
      </w:r>
      <w:r w:rsidR="00292B73" w:rsidRPr="00871E5D">
        <w:rPr>
          <w:rFonts w:ascii="Palatino Linotype" w:hAnsi="Palatino Linotype"/>
          <w:sz w:val="24"/>
          <w:szCs w:val="24"/>
        </w:rPr>
        <w:t xml:space="preserve">citada, del periodo </w:t>
      </w:r>
      <w:r w:rsidR="00292B73" w:rsidRPr="00871E5D">
        <w:rPr>
          <w:rFonts w:ascii="Palatino Linotype" w:hAnsi="Palatino Linotype" w:cs="Tahoma"/>
          <w:sz w:val="24"/>
          <w:szCs w:val="24"/>
        </w:rPr>
        <w:t>comprendido del 11 de septiembre de 2017 al 11 de septiembre de 2018</w:t>
      </w:r>
      <w:r w:rsidRPr="00871E5D">
        <w:rPr>
          <w:rFonts w:ascii="Palatino Linotype" w:hAnsi="Palatino Linotype"/>
          <w:sz w:val="24"/>
          <w:szCs w:val="24"/>
        </w:rPr>
        <w:t xml:space="preserve">; </w:t>
      </w:r>
      <w:r w:rsidR="00292B73" w:rsidRPr="00871E5D">
        <w:rPr>
          <w:rFonts w:ascii="Palatino Linotype" w:hAnsi="Palatino Linotype" w:cs="Tahoma"/>
          <w:sz w:val="24"/>
          <w:szCs w:val="24"/>
        </w:rPr>
        <w:lastRenderedPageBreak/>
        <w:t>interponiendo recurso de revisión en contra de la respuesta proporcionada por el Sujeto Obligado, por la entrega de información incompleta.</w:t>
      </w:r>
    </w:p>
    <w:p w:rsidR="002B055E" w:rsidRPr="00871E5D" w:rsidRDefault="002B055E" w:rsidP="002B055E">
      <w:pPr>
        <w:spacing w:line="360" w:lineRule="auto"/>
        <w:jc w:val="both"/>
        <w:rPr>
          <w:rFonts w:ascii="Palatino Linotype" w:eastAsia="Times New Roman" w:hAnsi="Palatino Linotype" w:cs="Tahoma"/>
          <w:sz w:val="24"/>
          <w:szCs w:val="24"/>
          <w:lang w:eastAsia="es-ES"/>
        </w:rPr>
      </w:pPr>
      <w:r w:rsidRPr="00871E5D">
        <w:rPr>
          <w:rFonts w:ascii="Palatino Linotype" w:hAnsi="Palatino Linotype"/>
          <w:sz w:val="24"/>
          <w:szCs w:val="24"/>
        </w:rPr>
        <w:t xml:space="preserve">En el estudio de fondo de la resolución, la Ponencia </w:t>
      </w:r>
      <w:proofErr w:type="spellStart"/>
      <w:r w:rsidRPr="00871E5D">
        <w:rPr>
          <w:rFonts w:ascii="Palatino Linotype" w:hAnsi="Palatino Linotype"/>
          <w:sz w:val="24"/>
          <w:szCs w:val="24"/>
        </w:rPr>
        <w:t>resolutora</w:t>
      </w:r>
      <w:proofErr w:type="spellEnd"/>
      <w:r w:rsidRPr="00871E5D">
        <w:rPr>
          <w:rFonts w:ascii="Palatino Linotype" w:hAnsi="Palatino Linotype"/>
          <w:sz w:val="24"/>
          <w:szCs w:val="24"/>
        </w:rPr>
        <w:t xml:space="preserve"> revisó </w:t>
      </w:r>
      <w:r w:rsidR="007D550B" w:rsidRPr="00871E5D">
        <w:rPr>
          <w:rFonts w:ascii="Palatino Linotype" w:hAnsi="Palatino Linotype"/>
          <w:sz w:val="24"/>
          <w:szCs w:val="24"/>
        </w:rPr>
        <w:t>las constancias proporcionadas por el Sujeto Obligado en respuesta a la solicitud de información concluyendo que la misma es incompleta</w:t>
      </w:r>
      <w:r w:rsidRPr="00871E5D">
        <w:rPr>
          <w:rFonts w:ascii="Palatino Linotype" w:eastAsia="Times New Roman" w:hAnsi="Palatino Linotype" w:cs="Tahoma"/>
          <w:sz w:val="24"/>
          <w:szCs w:val="24"/>
          <w:lang w:eastAsia="es-ES"/>
        </w:rPr>
        <w:t xml:space="preserve">.  </w:t>
      </w:r>
    </w:p>
    <w:p w:rsidR="002B055E" w:rsidRPr="00871E5D" w:rsidRDefault="002B055E" w:rsidP="002B055E">
      <w:pPr>
        <w:spacing w:line="360" w:lineRule="auto"/>
        <w:jc w:val="both"/>
        <w:rPr>
          <w:rFonts w:ascii="Palatino Linotype" w:eastAsia="Times New Roman" w:hAnsi="Palatino Linotype" w:cs="Tahoma"/>
          <w:sz w:val="24"/>
          <w:szCs w:val="24"/>
          <w:lang w:eastAsia="es-ES"/>
        </w:rPr>
      </w:pPr>
      <w:r w:rsidRPr="00871E5D">
        <w:rPr>
          <w:rFonts w:ascii="Palatino Linotype" w:eastAsia="Times New Roman" w:hAnsi="Palatino Linotype" w:cs="Tahoma"/>
          <w:sz w:val="24"/>
          <w:szCs w:val="24"/>
          <w:lang w:eastAsia="es-ES"/>
        </w:rPr>
        <w:t xml:space="preserve">De tal forma, la </w:t>
      </w:r>
      <w:proofErr w:type="spellStart"/>
      <w:r w:rsidRPr="00871E5D">
        <w:rPr>
          <w:rFonts w:ascii="Palatino Linotype" w:eastAsia="Times New Roman" w:hAnsi="Palatino Linotype" w:cs="Tahoma"/>
          <w:sz w:val="24"/>
          <w:szCs w:val="24"/>
          <w:lang w:eastAsia="es-ES"/>
        </w:rPr>
        <w:t>resolutora</w:t>
      </w:r>
      <w:proofErr w:type="spellEnd"/>
      <w:r w:rsidRPr="00871E5D">
        <w:rPr>
          <w:rFonts w:ascii="Palatino Linotype" w:eastAsia="Times New Roman" w:hAnsi="Palatino Linotype" w:cs="Tahoma"/>
          <w:sz w:val="24"/>
          <w:szCs w:val="24"/>
          <w:lang w:eastAsia="es-ES"/>
        </w:rPr>
        <w:t xml:space="preserve"> analizó la información de cada una de las fracciones y artículos solicitados por el particular, por lo que determinó parcialmente fundados los motivos de inconformidad del Recurrente y resolvió modificar las respuestas, para ordenar la entrega de la información omitida en los términos siguientes: </w:t>
      </w:r>
    </w:p>
    <w:p w:rsidR="007D550B" w:rsidRPr="007D550B" w:rsidRDefault="002B055E" w:rsidP="007D550B">
      <w:pPr>
        <w:numPr>
          <w:ilvl w:val="0"/>
          <w:numId w:val="5"/>
        </w:numPr>
        <w:shd w:val="clear" w:color="auto" w:fill="FFFFFF"/>
        <w:spacing w:line="276" w:lineRule="auto"/>
        <w:ind w:right="616"/>
        <w:rPr>
          <w:rFonts w:ascii="Palatino Linotype" w:hAnsi="Palatino Linotype" w:cs="Tahoma"/>
          <w:bCs/>
          <w:i/>
        </w:rPr>
      </w:pPr>
      <w:r w:rsidRPr="002F02E8">
        <w:rPr>
          <w:rFonts w:ascii="Palatino Linotype" w:eastAsia="Calibri" w:hAnsi="Palatino Linotype" w:cs="Tahoma"/>
          <w:bCs/>
          <w:i/>
          <w:lang w:val="es-ES"/>
        </w:rPr>
        <w:t>“</w:t>
      </w:r>
      <w:r w:rsidR="007D550B" w:rsidRPr="007D550B">
        <w:rPr>
          <w:rFonts w:ascii="Palatino Linotype" w:hAnsi="Palatino Linotype" w:cs="Tahoma"/>
          <w:bCs/>
          <w:i/>
        </w:rPr>
        <w:t xml:space="preserve">Las remuneraciones; </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 xml:space="preserve">Las plazas vacantes; </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Presupuesto asignado;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Erogaciones por contratación de servicios;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Información financiera de cuenta pública;</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 xml:space="preserve">Deuda pública; </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Gasto por capítulo;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Informes financieros;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 xml:space="preserve">Inventario de bienes muebles; </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altas practicadas a bienes 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bajas practicadas a bienes 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bienes inmuebles</w:t>
      </w:r>
      <w:r w:rsidRPr="007D550B">
        <w:rPr>
          <w:rFonts w:ascii="Palatino Linotype" w:eastAsia="Calibri" w:hAnsi="Palatino Linotype" w:cs="Tahoma"/>
          <w:b/>
          <w:bCs/>
          <w:i/>
        </w:rPr>
        <w:t>;</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altas practicadas a bienes inmuebles;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bajas practicadas a bienes inmuebles;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lang w:val="es-ES"/>
        </w:rPr>
        <w:t>Inventario de bienes muebles e inmuebles donados;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lastRenderedPageBreak/>
        <w:t>Resoluciones y laudos emitidos que hayan causado estado;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Presupuesto de egresos;</w:t>
      </w:r>
    </w:p>
    <w:p w:rsidR="007D550B" w:rsidRPr="007D550B" w:rsidRDefault="007D550B" w:rsidP="007D550B">
      <w:pPr>
        <w:shd w:val="clear" w:color="auto" w:fill="FFFFFF"/>
        <w:spacing w:after="0" w:line="276" w:lineRule="auto"/>
        <w:ind w:left="567" w:right="616"/>
        <w:jc w:val="both"/>
        <w:rPr>
          <w:rFonts w:ascii="Palatino Linotype" w:eastAsia="Calibri" w:hAnsi="Palatino Linotype" w:cs="Tahoma"/>
          <w:bCs/>
          <w:i/>
          <w:lang w:val="es-ES"/>
        </w:rPr>
      </w:pPr>
    </w:p>
    <w:p w:rsidR="007D550B" w:rsidRPr="007D550B" w:rsidRDefault="007D550B" w:rsidP="007D550B">
      <w:pPr>
        <w:shd w:val="clear" w:color="auto" w:fill="FFFFFF"/>
        <w:spacing w:after="0" w:line="276" w:lineRule="auto"/>
        <w:ind w:left="567" w:right="616"/>
        <w:jc w:val="both"/>
        <w:rPr>
          <w:rFonts w:ascii="Palatino Linotype" w:eastAsia="Calibri" w:hAnsi="Palatino Linotype" w:cs="Tahoma"/>
          <w:bCs/>
          <w:i/>
          <w:lang w:val="es-ES"/>
        </w:rPr>
      </w:pPr>
      <w:r w:rsidRPr="007D550B">
        <w:rPr>
          <w:rFonts w:ascii="Palatino Linotype" w:eastAsia="Calibri" w:hAnsi="Palatino Linotype" w:cs="Tahoma"/>
          <w:bCs/>
          <w:i/>
          <w:lang w:val="es-ES"/>
        </w:rPr>
        <w:t>Dentro del periodo comprendido del primero de enero de dos mil dieciocho al cinco de septiembre de dos mil dieciocho:</w:t>
      </w:r>
    </w:p>
    <w:p w:rsidR="007D550B" w:rsidRPr="007D550B" w:rsidRDefault="007D550B" w:rsidP="007D550B">
      <w:pPr>
        <w:shd w:val="clear" w:color="auto" w:fill="FFFFFF"/>
        <w:spacing w:after="0" w:line="276" w:lineRule="auto"/>
        <w:ind w:left="567" w:right="616"/>
        <w:jc w:val="both"/>
        <w:rPr>
          <w:rFonts w:ascii="Palatino Linotype" w:eastAsia="Calibri" w:hAnsi="Palatino Linotype" w:cs="Tahoma"/>
          <w:bCs/>
          <w:i/>
          <w:lang w:val="es-ES"/>
        </w:rPr>
      </w:pP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Las remuneraciones.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Las plazas vacantes;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Total de plazas vacantes y ocupadas;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Perfil de puestos;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Presupuesto asignado;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Erogaciones por contratación de servicios;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Información financiera de la cuenta pública;</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Deuda pública;</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Resultados de auditorías realizadas;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 xml:space="preserve">Resultados de la </w:t>
      </w:r>
      <w:proofErr w:type="spellStart"/>
      <w:r w:rsidRPr="007D550B">
        <w:rPr>
          <w:rFonts w:ascii="Palatino Linotype" w:eastAsia="Calibri" w:hAnsi="Palatino Linotype" w:cs="Tahoma"/>
          <w:bCs/>
          <w:i/>
        </w:rPr>
        <w:t>dictaminación</w:t>
      </w:r>
      <w:proofErr w:type="spellEnd"/>
      <w:r w:rsidRPr="007D550B">
        <w:rPr>
          <w:rFonts w:ascii="Palatino Linotype" w:eastAsia="Calibri" w:hAnsi="Palatino Linotype" w:cs="Tahoma"/>
          <w:bCs/>
          <w:i/>
        </w:rPr>
        <w:t xml:space="preserve"> de estados financieros;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Informes financieros;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altas practicadas a bienes 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bajas practicadas a bienes 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bienes inmuebles</w:t>
      </w:r>
      <w:r w:rsidRPr="007D550B">
        <w:rPr>
          <w:rFonts w:ascii="Palatino Linotype" w:eastAsia="Calibri" w:hAnsi="Palatino Linotype" w:cs="Tahoma"/>
          <w:b/>
          <w:bCs/>
          <w:i/>
        </w:rPr>
        <w:t>;</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altas practicadas a bienes inmuebles;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bajas practicadas a bienes inmuebles;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Inventario de bienes muebles e inmuebles donados;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Resoluciones y laudos emitidos que hayan causado estado;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Ingresos recibidos;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Responsables de recibir, administrar y ejercer los ingresos;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Presupuesto de egresos;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Egresos y fórmulas de distribución de los recursos;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 xml:space="preserve">Cancelaciones y condonaciones; </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Contribuyentes que recibieron cancelación o condonación de créditos fiscales;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lastRenderedPageBreak/>
        <w:t>Estadísticas sobre exenciones;</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Plan de Desarrollo Urbano;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Planes y/o programas de desarrollo urbano;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Planes y programas de ordenamiento territorial;</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Planes y programas de ordenamiento ecológico;</w:t>
      </w:r>
    </w:p>
    <w:p w:rsidR="007D550B" w:rsidRP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Licencias de uso de suelo;</w:t>
      </w:r>
    </w:p>
    <w:p w:rsidR="007D550B" w:rsidRDefault="007D550B" w:rsidP="007D550B">
      <w:pPr>
        <w:numPr>
          <w:ilvl w:val="0"/>
          <w:numId w:val="5"/>
        </w:numPr>
        <w:shd w:val="clear" w:color="auto" w:fill="FFFFFF"/>
        <w:spacing w:after="0" w:line="276" w:lineRule="auto"/>
        <w:ind w:right="616"/>
        <w:jc w:val="both"/>
        <w:rPr>
          <w:rFonts w:ascii="Palatino Linotype" w:eastAsia="Calibri" w:hAnsi="Palatino Linotype" w:cs="Tahoma"/>
          <w:bCs/>
          <w:i/>
        </w:rPr>
      </w:pPr>
      <w:r w:rsidRPr="007D550B">
        <w:rPr>
          <w:rFonts w:ascii="Palatino Linotype" w:eastAsia="Calibri" w:hAnsi="Palatino Linotype" w:cs="Tahoma"/>
          <w:bCs/>
          <w:i/>
        </w:rPr>
        <w:t>Licencias de construcción;</w:t>
      </w:r>
    </w:p>
    <w:p w:rsidR="007D550B" w:rsidRPr="007D550B" w:rsidRDefault="007D550B" w:rsidP="007D550B">
      <w:pPr>
        <w:shd w:val="clear" w:color="auto" w:fill="FFFFFF"/>
        <w:spacing w:after="0" w:line="276" w:lineRule="auto"/>
        <w:ind w:left="1080" w:right="616"/>
        <w:jc w:val="both"/>
        <w:rPr>
          <w:rFonts w:ascii="Palatino Linotype" w:eastAsia="Calibri" w:hAnsi="Palatino Linotype" w:cs="Tahoma"/>
          <w:bCs/>
          <w:i/>
        </w:rPr>
      </w:pPr>
    </w:p>
    <w:p w:rsidR="007D550B" w:rsidRPr="007D550B" w:rsidRDefault="007D550B" w:rsidP="007D550B">
      <w:pPr>
        <w:shd w:val="clear" w:color="auto" w:fill="FFFFFF"/>
        <w:spacing w:after="0" w:line="276" w:lineRule="auto"/>
        <w:ind w:left="567" w:right="616"/>
        <w:jc w:val="both"/>
        <w:rPr>
          <w:rFonts w:ascii="Palatino Linotype" w:eastAsia="Calibri" w:hAnsi="Palatino Linotype" w:cs="Tahoma"/>
          <w:bCs/>
          <w:i/>
          <w:lang w:val="es-ES"/>
        </w:rPr>
      </w:pPr>
      <w:r w:rsidRPr="007D550B">
        <w:rPr>
          <w:rFonts w:ascii="Palatino Linotype" w:eastAsia="Calibri" w:hAnsi="Palatino Linotype" w:cs="Tahoma"/>
          <w:bCs/>
          <w:i/>
          <w:lang w:val="es-ES"/>
        </w:rPr>
        <w:t>Respecto a los numerales 1, 6, 11, 12, 13, 14, 15, 22, 25, 29, 30, 31, 32, 33, 34, 47 y 48, tomando en consideración el mes de la última actualización de la información, señalado en el Considerando SÉPTIMO, si la información sufrió alguna modificación no publicada será necesario que el Sujeto Obligado proporcione la documentación fuente correspondiente en términos del artículo 19 de la Ley de Transparencia y Acceso a la Información Pública del Estado de México y Municipios.</w:t>
      </w:r>
    </w:p>
    <w:p w:rsidR="002B055E" w:rsidRPr="00404B2C" w:rsidRDefault="002B055E" w:rsidP="007D550B">
      <w:pPr>
        <w:shd w:val="clear" w:color="auto" w:fill="FFFFFF"/>
        <w:spacing w:after="0" w:line="276" w:lineRule="auto"/>
        <w:ind w:left="567" w:right="616"/>
        <w:jc w:val="both"/>
        <w:rPr>
          <w:rFonts w:ascii="Palatino Linotype" w:eastAsia="Calibri" w:hAnsi="Palatino Linotype" w:cs="Tahoma"/>
          <w:bCs/>
          <w:i/>
          <w:lang w:val="es-ES"/>
        </w:rPr>
      </w:pPr>
      <w:r>
        <w:rPr>
          <w:rFonts w:ascii="Palatino Linotype" w:eastAsia="Calibri" w:hAnsi="Palatino Linotype" w:cs="Tahoma"/>
          <w:bCs/>
          <w:i/>
          <w:lang w:val="es-ES"/>
        </w:rPr>
        <w:t>…”</w:t>
      </w:r>
    </w:p>
    <w:p w:rsidR="002B055E" w:rsidRPr="0012248A" w:rsidRDefault="002B055E" w:rsidP="002B055E">
      <w:pPr>
        <w:shd w:val="clear" w:color="auto" w:fill="FFFFFF"/>
        <w:spacing w:after="0" w:line="276" w:lineRule="auto"/>
        <w:ind w:left="567" w:right="616"/>
        <w:jc w:val="both"/>
        <w:rPr>
          <w:rFonts w:ascii="Palatino Linotype" w:eastAsia="Times New Roman" w:hAnsi="Palatino Linotype" w:cs="Tahoma"/>
          <w:i/>
          <w:lang w:eastAsia="es-ES"/>
        </w:rPr>
      </w:pPr>
    </w:p>
    <w:p w:rsidR="002B055E" w:rsidRPr="0012248A" w:rsidRDefault="002B055E" w:rsidP="002B055E">
      <w:pPr>
        <w:spacing w:after="0" w:line="240" w:lineRule="auto"/>
        <w:jc w:val="both"/>
        <w:rPr>
          <w:rFonts w:ascii="Palatino Linotype" w:eastAsia="Times New Roman" w:hAnsi="Palatino Linotype" w:cs="Tahoma"/>
          <w:sz w:val="16"/>
          <w:szCs w:val="16"/>
          <w:lang w:eastAsia="es-ES"/>
        </w:rPr>
      </w:pPr>
    </w:p>
    <w:p w:rsidR="002B055E" w:rsidRPr="00871E5D" w:rsidRDefault="002B055E" w:rsidP="002B055E">
      <w:pPr>
        <w:spacing w:line="360" w:lineRule="auto"/>
        <w:jc w:val="both"/>
        <w:rPr>
          <w:rFonts w:ascii="Palatino Linotype" w:eastAsia="Times New Roman" w:hAnsi="Palatino Linotype" w:cs="Tahoma"/>
          <w:sz w:val="24"/>
          <w:szCs w:val="24"/>
          <w:lang w:eastAsia="es-ES"/>
        </w:rPr>
      </w:pPr>
      <w:r w:rsidRPr="00871E5D">
        <w:rPr>
          <w:rFonts w:ascii="Palatino Linotype" w:eastAsia="Times New Roman" w:hAnsi="Palatino Linotype" w:cs="Tahoma"/>
          <w:sz w:val="24"/>
          <w:szCs w:val="24"/>
          <w:lang w:eastAsia="es-ES"/>
        </w:rPr>
        <w:t xml:space="preserve">No obstante lo anterior, la Ponencia </w:t>
      </w:r>
      <w:proofErr w:type="spellStart"/>
      <w:r w:rsidRPr="00871E5D">
        <w:rPr>
          <w:rFonts w:ascii="Palatino Linotype" w:eastAsia="Times New Roman" w:hAnsi="Palatino Linotype" w:cs="Tahoma"/>
          <w:sz w:val="24"/>
          <w:szCs w:val="24"/>
          <w:lang w:eastAsia="es-ES"/>
        </w:rPr>
        <w:t>resolutora</w:t>
      </w:r>
      <w:proofErr w:type="spellEnd"/>
      <w:r w:rsidRPr="00871E5D">
        <w:rPr>
          <w:rFonts w:ascii="Palatino Linotype" w:eastAsia="Times New Roman" w:hAnsi="Palatino Linotype" w:cs="Tahoma"/>
          <w:sz w:val="24"/>
          <w:szCs w:val="24"/>
          <w:lang w:eastAsia="es-ES"/>
        </w:rPr>
        <w:t xml:space="preserve"> determinó la entrega de la información en </w:t>
      </w:r>
      <w:r w:rsidRPr="00871E5D">
        <w:rPr>
          <w:rFonts w:ascii="Palatino Linotype" w:eastAsia="Times New Roman" w:hAnsi="Palatino Linotype" w:cs="Tahoma"/>
          <w:b/>
          <w:i/>
          <w:sz w:val="24"/>
          <w:szCs w:val="24"/>
          <w:lang w:eastAsia="es-ES"/>
        </w:rPr>
        <w:t>“consulta directa”</w:t>
      </w:r>
      <w:r w:rsidRPr="00871E5D">
        <w:rPr>
          <w:rFonts w:ascii="Palatino Linotype" w:eastAsia="Times New Roman" w:hAnsi="Palatino Linotype" w:cs="Tahoma"/>
          <w:sz w:val="24"/>
          <w:szCs w:val="24"/>
          <w:lang w:eastAsia="es-ES"/>
        </w:rPr>
        <w:t xml:space="preserve">, es decir,  resolvió el cambio de modalidad de entrega de información solicitada por el particular, quien la requirió a través de su correo electrónico personal. </w:t>
      </w:r>
    </w:p>
    <w:p w:rsidR="002B055E" w:rsidRPr="00871E5D" w:rsidRDefault="002B055E" w:rsidP="002B055E">
      <w:pPr>
        <w:spacing w:line="360" w:lineRule="auto"/>
        <w:jc w:val="both"/>
        <w:rPr>
          <w:rFonts w:ascii="Palatino Linotype" w:eastAsia="Times New Roman" w:hAnsi="Palatino Linotype" w:cs="Tahoma"/>
          <w:sz w:val="24"/>
          <w:szCs w:val="24"/>
          <w:lang w:eastAsia="es-ES"/>
        </w:rPr>
      </w:pPr>
      <w:r w:rsidRPr="00871E5D">
        <w:rPr>
          <w:rFonts w:ascii="Palatino Linotype" w:eastAsia="Times New Roman" w:hAnsi="Palatino Linotype" w:cs="Tahoma"/>
          <w:sz w:val="24"/>
          <w:szCs w:val="24"/>
          <w:lang w:eastAsia="es-ES"/>
        </w:rPr>
        <w:t xml:space="preserve">En ese tenor, se debió atender lo dispuesto en el artículo 164 de nuestra Ley de Transparencia y Acceso a la Información Pública, el cual dispone que el acceso se dará en la modalidad de entrega y, en su caso, de envío elegidos por el solicitante, sin embargo, cuando la información no pueda entregarse o enviarse en la modalidad </w:t>
      </w:r>
      <w:r w:rsidRPr="00871E5D">
        <w:rPr>
          <w:rFonts w:ascii="Palatino Linotype" w:eastAsia="Times New Roman" w:hAnsi="Palatino Linotype" w:cs="Tahoma"/>
          <w:sz w:val="24"/>
          <w:szCs w:val="24"/>
          <w:lang w:eastAsia="es-ES"/>
        </w:rPr>
        <w:lastRenderedPageBreak/>
        <w:t>solicitada, el Sujeto Obligado deberá ofrecer otra u otras modalidades de entrega, de manera motivada y fundada.</w:t>
      </w:r>
    </w:p>
    <w:p w:rsidR="002B055E" w:rsidRPr="00871E5D" w:rsidRDefault="002B055E" w:rsidP="002B055E">
      <w:pPr>
        <w:spacing w:line="360" w:lineRule="auto"/>
        <w:jc w:val="both"/>
        <w:rPr>
          <w:rFonts w:ascii="Palatino Linotype" w:eastAsia="Times New Roman" w:hAnsi="Palatino Linotype" w:cs="Tahoma"/>
          <w:sz w:val="24"/>
          <w:szCs w:val="24"/>
          <w:lang w:eastAsia="es-ES"/>
        </w:rPr>
      </w:pPr>
      <w:r w:rsidRPr="00871E5D">
        <w:rPr>
          <w:rFonts w:ascii="Palatino Linotype" w:eastAsia="Times New Roman" w:hAnsi="Palatino Linotype" w:cs="Tahoma"/>
          <w:sz w:val="24"/>
          <w:szCs w:val="24"/>
          <w:lang w:eastAsia="es-ES"/>
        </w:rPr>
        <w:t xml:space="preserve">Discernimiento que encuentra apoyo en lo dispuesto en el Criterio 08/17, emitido por el INAI, cuyo rubro y texto disponen: </w:t>
      </w:r>
    </w:p>
    <w:p w:rsidR="002B055E" w:rsidRPr="00871E5D" w:rsidRDefault="002B055E" w:rsidP="002B055E">
      <w:pPr>
        <w:spacing w:after="0" w:line="240" w:lineRule="auto"/>
        <w:ind w:left="567" w:right="618"/>
        <w:jc w:val="both"/>
        <w:rPr>
          <w:rFonts w:ascii="Palatino Linotype" w:hAnsi="Palatino Linotype"/>
          <w:i/>
          <w:sz w:val="20"/>
          <w:szCs w:val="20"/>
        </w:rPr>
      </w:pPr>
      <w:r w:rsidRPr="00871E5D">
        <w:rPr>
          <w:rFonts w:ascii="Palatino Linotype" w:hAnsi="Palatino Linotype"/>
          <w:i/>
          <w:sz w:val="20"/>
          <w:szCs w:val="20"/>
        </w:rPr>
        <w:t>“</w:t>
      </w:r>
      <w:r w:rsidRPr="00871E5D">
        <w:rPr>
          <w:rFonts w:ascii="Palatino Linotype" w:hAnsi="Palatino Linotype"/>
          <w:b/>
          <w:i/>
          <w:sz w:val="20"/>
          <w:szCs w:val="20"/>
        </w:rPr>
        <w:t>Modalidad de entrega. Procedencia de proporcionar la información solicitada en una diversa a la elegida por el solicitante.</w:t>
      </w:r>
      <w:r w:rsidRPr="00871E5D">
        <w:rPr>
          <w:rFonts w:ascii="Palatino Linotype" w:hAnsi="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 </w:t>
      </w:r>
    </w:p>
    <w:p w:rsidR="002B055E" w:rsidRPr="00871E5D" w:rsidRDefault="002B055E" w:rsidP="002B055E">
      <w:pPr>
        <w:spacing w:after="0" w:line="240" w:lineRule="auto"/>
        <w:ind w:left="567" w:right="618"/>
        <w:jc w:val="both"/>
        <w:rPr>
          <w:rFonts w:ascii="Palatino Linotype" w:hAnsi="Palatino Linotype"/>
          <w:i/>
          <w:sz w:val="20"/>
          <w:szCs w:val="20"/>
        </w:rPr>
      </w:pPr>
    </w:p>
    <w:p w:rsidR="002B055E" w:rsidRPr="00871E5D" w:rsidRDefault="002B055E" w:rsidP="002B055E">
      <w:pPr>
        <w:spacing w:after="0" w:line="240" w:lineRule="auto"/>
        <w:ind w:left="567" w:right="618"/>
        <w:jc w:val="both"/>
        <w:rPr>
          <w:rFonts w:ascii="Palatino Linotype" w:hAnsi="Palatino Linotype"/>
          <w:b/>
          <w:i/>
          <w:sz w:val="20"/>
          <w:szCs w:val="20"/>
        </w:rPr>
      </w:pPr>
      <w:r w:rsidRPr="00871E5D">
        <w:rPr>
          <w:rFonts w:ascii="Palatino Linotype" w:hAnsi="Palatino Linotype"/>
          <w:b/>
          <w:i/>
          <w:sz w:val="20"/>
          <w:szCs w:val="20"/>
        </w:rPr>
        <w:t xml:space="preserve">Resoluciones: </w:t>
      </w:r>
    </w:p>
    <w:p w:rsidR="002B055E" w:rsidRPr="00871E5D" w:rsidRDefault="002B055E" w:rsidP="002B055E">
      <w:pPr>
        <w:spacing w:after="0" w:line="240" w:lineRule="auto"/>
        <w:ind w:left="567" w:right="618"/>
        <w:jc w:val="both"/>
        <w:rPr>
          <w:rFonts w:ascii="Palatino Linotype" w:hAnsi="Palatino Linotype"/>
          <w:i/>
          <w:sz w:val="20"/>
          <w:szCs w:val="20"/>
        </w:rPr>
      </w:pPr>
      <w:r w:rsidRPr="00871E5D">
        <w:rPr>
          <w:rFonts w:ascii="Palatino Linotype" w:hAnsi="Palatino Linotype"/>
          <w:i/>
          <w:sz w:val="20"/>
          <w:szCs w:val="20"/>
        </w:rPr>
        <w:sym w:font="Symbol" w:char="F0B7"/>
      </w:r>
      <w:r w:rsidRPr="00871E5D">
        <w:rPr>
          <w:rFonts w:ascii="Palatino Linotype" w:hAnsi="Palatino Linotype"/>
          <w:i/>
          <w:sz w:val="20"/>
          <w:szCs w:val="20"/>
        </w:rPr>
        <w:t xml:space="preserve"> RRA 0188/16. Secretaría de Desarrollo Agrario, Territorial y Urbano. 17 de agosto de 2016. Por unanimidad. Comisionada Ponente Ximena Puente de la Mora. </w:t>
      </w:r>
    </w:p>
    <w:p w:rsidR="002B055E" w:rsidRPr="00871E5D" w:rsidRDefault="002B055E" w:rsidP="002B055E">
      <w:pPr>
        <w:spacing w:after="0" w:line="240" w:lineRule="auto"/>
        <w:ind w:left="567" w:right="618"/>
        <w:jc w:val="both"/>
        <w:rPr>
          <w:rFonts w:ascii="Palatino Linotype" w:hAnsi="Palatino Linotype"/>
          <w:i/>
          <w:sz w:val="20"/>
          <w:szCs w:val="20"/>
        </w:rPr>
      </w:pPr>
      <w:r w:rsidRPr="00871E5D">
        <w:rPr>
          <w:rFonts w:ascii="Palatino Linotype" w:hAnsi="Palatino Linotype"/>
          <w:i/>
          <w:sz w:val="20"/>
          <w:szCs w:val="20"/>
        </w:rPr>
        <w:sym w:font="Symbol" w:char="F0B7"/>
      </w:r>
      <w:r w:rsidRPr="00871E5D">
        <w:rPr>
          <w:rFonts w:ascii="Palatino Linotype" w:hAnsi="Palatino Linotype"/>
          <w:i/>
          <w:sz w:val="20"/>
          <w:szCs w:val="20"/>
        </w:rPr>
        <w:t xml:space="preserve"> RRA 4812/16. Secretaría de Educación Pública. 08 de febrero de 2017. Por unanimidad. Comisionado Ponente Oscar Mauricio Guerra Ford. </w:t>
      </w:r>
    </w:p>
    <w:p w:rsidR="002B055E" w:rsidRPr="00871E5D" w:rsidRDefault="002B055E" w:rsidP="002B055E">
      <w:pPr>
        <w:spacing w:after="0" w:line="240" w:lineRule="auto"/>
        <w:ind w:left="567" w:right="618"/>
        <w:jc w:val="both"/>
        <w:rPr>
          <w:rFonts w:ascii="Palatino Linotype" w:eastAsia="Times New Roman" w:hAnsi="Palatino Linotype" w:cs="Tahoma"/>
          <w:i/>
          <w:sz w:val="20"/>
          <w:szCs w:val="20"/>
          <w:lang w:eastAsia="es-ES"/>
        </w:rPr>
      </w:pPr>
      <w:r w:rsidRPr="00871E5D">
        <w:rPr>
          <w:rFonts w:ascii="Palatino Linotype" w:hAnsi="Palatino Linotype"/>
          <w:i/>
          <w:sz w:val="20"/>
          <w:szCs w:val="20"/>
        </w:rPr>
        <w:sym w:font="Symbol" w:char="F0B7"/>
      </w:r>
      <w:r w:rsidRPr="00871E5D">
        <w:rPr>
          <w:rFonts w:ascii="Palatino Linotype" w:hAnsi="Palatino Linotype"/>
          <w:i/>
          <w:sz w:val="20"/>
          <w:szCs w:val="20"/>
        </w:rPr>
        <w:t xml:space="preserve"> RRA 0359/17. Universidad Nacional Autónoma de México. 01 de marzo de 2017. Por unanimidad. Comisionada Ponente Areli Cano Guadiana.”</w:t>
      </w:r>
    </w:p>
    <w:p w:rsidR="002B055E" w:rsidRDefault="002B055E" w:rsidP="002B055E">
      <w:pPr>
        <w:spacing w:after="0" w:line="240" w:lineRule="auto"/>
        <w:ind w:right="618"/>
        <w:jc w:val="both"/>
        <w:rPr>
          <w:rFonts w:ascii="Palatino Linotype" w:hAnsi="Palatino Linotype"/>
          <w:i/>
        </w:rPr>
      </w:pPr>
    </w:p>
    <w:p w:rsidR="002B055E" w:rsidRPr="00871E5D" w:rsidRDefault="002B055E" w:rsidP="002B055E">
      <w:pPr>
        <w:spacing w:after="0" w:line="360" w:lineRule="auto"/>
        <w:ind w:right="49"/>
        <w:jc w:val="both"/>
        <w:rPr>
          <w:rFonts w:ascii="Palatino Linotype" w:eastAsia="Times New Roman" w:hAnsi="Palatino Linotype" w:cs="Tahoma"/>
          <w:sz w:val="24"/>
          <w:szCs w:val="24"/>
          <w:lang w:eastAsia="es-ES"/>
        </w:rPr>
      </w:pPr>
      <w:r w:rsidRPr="00871E5D">
        <w:rPr>
          <w:rFonts w:ascii="Palatino Linotype" w:eastAsia="Times New Roman" w:hAnsi="Palatino Linotype" w:cs="Tahoma"/>
          <w:sz w:val="24"/>
          <w:szCs w:val="24"/>
          <w:lang w:eastAsia="es-ES"/>
        </w:rPr>
        <w:t xml:space="preserve">Ahora bien, para el cambio de modalidad a “consulta directa”, es pertinente mencionar que conforme a lo dispuesto en el artículo 158 de la Ley de Transparencia </w:t>
      </w:r>
      <w:proofErr w:type="spellStart"/>
      <w:r w:rsidRPr="00871E5D">
        <w:rPr>
          <w:rFonts w:ascii="Palatino Linotype" w:eastAsia="Times New Roman" w:hAnsi="Palatino Linotype" w:cs="Tahoma"/>
          <w:sz w:val="24"/>
          <w:szCs w:val="24"/>
          <w:lang w:eastAsia="es-ES"/>
        </w:rPr>
        <w:t>supraindicada</w:t>
      </w:r>
      <w:proofErr w:type="spellEnd"/>
      <w:r w:rsidRPr="00871E5D">
        <w:rPr>
          <w:rFonts w:ascii="Palatino Linotype" w:eastAsia="Times New Roman" w:hAnsi="Palatino Linotype" w:cs="Tahoma"/>
          <w:sz w:val="24"/>
          <w:szCs w:val="24"/>
          <w:lang w:eastAsia="es-ES"/>
        </w:rPr>
        <w:t xml:space="preserve">, corresponde a los Sujetos Obligados, de manera excepcional, poner a disposición de los solicitantes la información peticionada en consulta directa, siempre y cuando funden y motiven su determinación, ya sea porque implique su análisis, estudio o procesamiento de documentos cuya entrega o reproducción sobrepase las capacidades técnicas administrativas y humanas del Sujeto Obligado. </w:t>
      </w:r>
    </w:p>
    <w:p w:rsidR="002B055E" w:rsidRPr="00871E5D" w:rsidRDefault="002B055E" w:rsidP="002B055E">
      <w:pPr>
        <w:spacing w:after="0" w:line="240" w:lineRule="auto"/>
        <w:ind w:right="49"/>
        <w:jc w:val="both"/>
        <w:rPr>
          <w:rFonts w:ascii="Palatino Linotype" w:eastAsia="Times New Roman" w:hAnsi="Palatino Linotype" w:cs="Tahoma"/>
          <w:i/>
          <w:sz w:val="24"/>
          <w:szCs w:val="24"/>
          <w:lang w:eastAsia="es-ES"/>
        </w:rPr>
      </w:pPr>
    </w:p>
    <w:p w:rsidR="002B055E" w:rsidRPr="00871E5D" w:rsidRDefault="002B055E" w:rsidP="002B055E">
      <w:pPr>
        <w:spacing w:line="360" w:lineRule="auto"/>
        <w:jc w:val="both"/>
        <w:rPr>
          <w:rFonts w:ascii="Palatino Linotype" w:eastAsia="Times New Roman" w:hAnsi="Palatino Linotype" w:cs="Tahoma"/>
          <w:sz w:val="24"/>
          <w:szCs w:val="24"/>
          <w:lang w:eastAsia="es-ES"/>
        </w:rPr>
      </w:pPr>
      <w:r w:rsidRPr="00871E5D">
        <w:rPr>
          <w:rFonts w:ascii="Palatino Linotype" w:eastAsia="Times New Roman" w:hAnsi="Palatino Linotype" w:cs="Tahoma"/>
          <w:sz w:val="24"/>
          <w:szCs w:val="24"/>
          <w:lang w:eastAsia="es-ES"/>
        </w:rPr>
        <w:t xml:space="preserve">Adicional a lo anterior, se deberán acreditar lo dispuesto en el numeral Cincuenta y Cuatro de los </w:t>
      </w:r>
      <w:r w:rsidRPr="00871E5D">
        <w:rPr>
          <w:rFonts w:ascii="Palatino Linotype" w:eastAsia="Times New Roman" w:hAnsi="Palatino Linotype" w:cs="Arial"/>
          <w:sz w:val="24"/>
          <w:szCs w:val="24"/>
          <w:lang w:val="es-ES" w:eastAsia="es-E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871E5D">
        <w:rPr>
          <w:rStyle w:val="Refdenotaalpie"/>
          <w:rFonts w:ascii="Palatino Linotype" w:eastAsia="Times New Roman" w:hAnsi="Palatino Linotype" w:cs="Arial"/>
          <w:sz w:val="24"/>
          <w:szCs w:val="24"/>
          <w:lang w:val="es-ES" w:eastAsia="es-ES"/>
        </w:rPr>
        <w:footnoteReference w:id="1"/>
      </w:r>
      <w:r w:rsidRPr="00871E5D">
        <w:rPr>
          <w:rFonts w:ascii="Palatino Linotype" w:eastAsia="Times New Roman" w:hAnsi="Palatino Linotype" w:cs="Tahoma"/>
          <w:sz w:val="24"/>
          <w:szCs w:val="24"/>
          <w:lang w:eastAsia="es-ES"/>
        </w:rPr>
        <w:t xml:space="preserve">  que a la letra dispone:</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r w:rsidRPr="00871E5D">
        <w:rPr>
          <w:rFonts w:ascii="Palatino Linotype" w:eastAsia="Times New Roman" w:hAnsi="Palatino Linotype" w:cs="Arial"/>
          <w:b/>
          <w:bCs/>
          <w:i/>
          <w:noProof/>
          <w:sz w:val="20"/>
          <w:szCs w:val="20"/>
          <w:lang w:val="es-ES" w:eastAsia="es-ES"/>
        </w:rPr>
        <w:t>“CINCUENTA Y CUATRO.-</w:t>
      </w:r>
      <w:r w:rsidRPr="00871E5D">
        <w:rPr>
          <w:rFonts w:ascii="Palatino Linotype" w:eastAsia="Times New Roman" w:hAnsi="Palatino Linotype" w:cs="Arial"/>
          <w:bCs/>
          <w:i/>
          <w:noProof/>
          <w:sz w:val="20"/>
          <w:szCs w:val="20"/>
          <w:lang w:val="es-ES" w:eastAsia="es-ES"/>
        </w:rPr>
        <w:t xml:space="preserve"> De acuerdo a lo dispuesto por el párrafo segundo del artículo 48 de la Ley, la información podrá ser entregada vía electrónica a través del SICOSIEM. </w:t>
      </w:r>
    </w:p>
    <w:p w:rsidR="002B055E" w:rsidRPr="00871E5D" w:rsidRDefault="002B055E" w:rsidP="002B055E">
      <w:pPr>
        <w:spacing w:after="0" w:line="240" w:lineRule="auto"/>
        <w:ind w:left="567" w:right="616"/>
        <w:jc w:val="both"/>
        <w:rPr>
          <w:rFonts w:ascii="Palatino Linotype" w:eastAsia="Times New Roman" w:hAnsi="Palatino Linotype" w:cs="Arial"/>
          <w:b/>
          <w:bCs/>
          <w:i/>
          <w:noProof/>
          <w:sz w:val="20"/>
          <w:szCs w:val="20"/>
          <w:u w:val="single"/>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r w:rsidRPr="00871E5D">
        <w:rPr>
          <w:rFonts w:ascii="Palatino Linotype" w:eastAsia="Times New Roman" w:hAnsi="Palatino Linotype" w:cs="Arial"/>
          <w:bCs/>
          <w:i/>
          <w:noProof/>
          <w:sz w:val="20"/>
          <w:szCs w:val="20"/>
          <w:lang w:val="es-ES" w:eastAsia="es-ES"/>
        </w:rPr>
        <w:t>Es obligación del responsable de la Unidad de Información verificar que los archivos electrónicos que contengan la información entregada, se encuentra agregada al SICOSIEM.</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u w:val="single"/>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r w:rsidRPr="00871E5D">
        <w:rPr>
          <w:rFonts w:ascii="Palatino Linotype" w:eastAsia="Times New Roman" w:hAnsi="Palatino Linotype" w:cs="Arial"/>
          <w:bCs/>
          <w:i/>
          <w:noProof/>
          <w:sz w:val="20"/>
          <w:szCs w:val="20"/>
          <w:u w:val="single"/>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w:t>
      </w:r>
      <w:r w:rsidRPr="00871E5D">
        <w:rPr>
          <w:rFonts w:ascii="Palatino Linotype" w:eastAsia="Times New Roman" w:hAnsi="Palatino Linotype" w:cs="Arial"/>
          <w:bCs/>
          <w:i/>
          <w:noProof/>
          <w:sz w:val="20"/>
          <w:szCs w:val="20"/>
          <w:lang w:val="es-ES" w:eastAsia="es-ES"/>
        </w:rPr>
        <w:t>, además de comunicarse vía telefónica de inmediato a efecto de que reciba el apoyo técnico correspondiente.</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r w:rsidRPr="00871E5D">
        <w:rPr>
          <w:rFonts w:ascii="Palatino Linotype" w:eastAsia="Times New Roman" w:hAnsi="Palatino Linotype" w:cs="Arial"/>
          <w:bCs/>
          <w:i/>
          <w:noProof/>
          <w:sz w:val="20"/>
          <w:szCs w:val="20"/>
          <w:u w:val="single"/>
          <w:lang w:val="es-ES" w:eastAsia="es-ES"/>
        </w:rPr>
        <w:t>La Dirección de Sistemas e Informática del Instituto, debe llevar un registro de incidencias en el cual se asienten todas las llamas referentes al apoyo técnico para agregar los archivos electrónicos al SICOSIEM</w:t>
      </w:r>
      <w:r w:rsidRPr="00871E5D">
        <w:rPr>
          <w:rFonts w:ascii="Palatino Linotype" w:eastAsia="Times New Roman" w:hAnsi="Palatino Linotype" w:cs="Arial"/>
          <w:bCs/>
          <w:i/>
          <w:noProof/>
          <w:sz w:val="20"/>
          <w:szCs w:val="20"/>
          <w:lang w:val="es-ES" w:eastAsia="es-ES"/>
        </w:rPr>
        <w:t>.</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u w:val="single"/>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u w:val="single"/>
          <w:lang w:val="es-ES" w:eastAsia="es-ES"/>
        </w:rPr>
      </w:pPr>
      <w:r w:rsidRPr="00871E5D">
        <w:rPr>
          <w:rFonts w:ascii="Palatino Linotype" w:eastAsia="Times New Roman" w:hAnsi="Palatino Linotype" w:cs="Arial"/>
          <w:bCs/>
          <w:i/>
          <w:noProof/>
          <w:sz w:val="20"/>
          <w:szCs w:val="20"/>
          <w:u w:val="single"/>
          <w:lang w:val="es-ES" w:eastAsia="es-ES"/>
        </w:rPr>
        <w:t xml:space="preserve">La omisión por parte del responsable de la Unidad de Información del procedimiento antes descrito presume la negativa de la entrega de la Información. </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u w:val="single"/>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r w:rsidRPr="00871E5D">
        <w:rPr>
          <w:rFonts w:ascii="Palatino Linotype" w:eastAsia="Times New Roman" w:hAnsi="Palatino Linotype" w:cs="Arial"/>
          <w:bCs/>
          <w:i/>
          <w:noProof/>
          <w:sz w:val="20"/>
          <w:szCs w:val="20"/>
          <w:u w:val="single"/>
          <w:lang w:val="es-ES" w:eastAsia="es-ES"/>
        </w:rPr>
        <w:t>Cuando la información no pueda ser remitida vía electrónica</w:t>
      </w:r>
      <w:r w:rsidRPr="00871E5D">
        <w:rPr>
          <w:rFonts w:ascii="Palatino Linotype" w:eastAsia="Times New Roman" w:hAnsi="Palatino Linotype" w:cs="Arial"/>
          <w:bCs/>
          <w:i/>
          <w:noProof/>
          <w:sz w:val="20"/>
          <w:szCs w:val="20"/>
          <w:lang w:val="es-ES" w:eastAsia="es-ES"/>
        </w:rPr>
        <w:t xml:space="preserve">, </w:t>
      </w:r>
      <w:r w:rsidRPr="00871E5D">
        <w:rPr>
          <w:rFonts w:ascii="Palatino Linotype" w:eastAsia="Times New Roman" w:hAnsi="Palatino Linotype" w:cs="Arial"/>
          <w:bCs/>
          <w:i/>
          <w:noProof/>
          <w:sz w:val="20"/>
          <w:szCs w:val="20"/>
          <w:u w:val="single"/>
          <w:lang w:val="es-ES" w:eastAsia="es-ES"/>
        </w:rPr>
        <w:t>se deberá fundar y motivar la resolución respectiva</w:t>
      </w:r>
      <w:r w:rsidRPr="00871E5D">
        <w:rPr>
          <w:rFonts w:ascii="Palatino Linotype" w:eastAsia="Times New Roman" w:hAnsi="Palatino Linotype" w:cs="Arial"/>
          <w:bCs/>
          <w:i/>
          <w:noProof/>
          <w:sz w:val="20"/>
          <w:szCs w:val="20"/>
          <w:lang w:val="es-ES" w:eastAsia="es-ES"/>
        </w:rPr>
        <w:t xml:space="preserve">, </w:t>
      </w:r>
      <w:r w:rsidRPr="00871E5D">
        <w:rPr>
          <w:rFonts w:ascii="Palatino Linotype" w:eastAsia="Times New Roman" w:hAnsi="Palatino Linotype" w:cs="Arial"/>
          <w:bCs/>
          <w:i/>
          <w:noProof/>
          <w:sz w:val="20"/>
          <w:szCs w:val="20"/>
          <w:u w:val="single"/>
          <w:lang w:val="es-ES" w:eastAsia="es-ES"/>
        </w:rPr>
        <w:t>explicando en todo momento las causas que impiden el envío de la información de forma electrónica</w:t>
      </w:r>
      <w:r w:rsidRPr="00871E5D">
        <w:rPr>
          <w:rFonts w:ascii="Palatino Linotype" w:eastAsia="Times New Roman" w:hAnsi="Palatino Linotype" w:cs="Arial"/>
          <w:bCs/>
          <w:i/>
          <w:noProof/>
          <w:sz w:val="20"/>
          <w:szCs w:val="20"/>
          <w:lang w:val="es-ES" w:eastAsia="es-ES"/>
        </w:rPr>
        <w:t>.</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u w:val="single"/>
          <w:lang w:val="es-ES" w:eastAsia="es-ES"/>
        </w:rPr>
      </w:pPr>
      <w:r w:rsidRPr="00871E5D">
        <w:rPr>
          <w:rFonts w:ascii="Palatino Linotype" w:eastAsia="Times New Roman" w:hAnsi="Palatino Linotype" w:cs="Arial"/>
          <w:bCs/>
          <w:i/>
          <w:noProof/>
          <w:sz w:val="20"/>
          <w:szCs w:val="20"/>
          <w:u w:val="single"/>
          <w:lang w:val="es-ES" w:eastAsia="es-ES"/>
        </w:rPr>
        <w:lastRenderedPageBreak/>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p>
    <w:p w:rsidR="002B055E" w:rsidRPr="00871E5D" w:rsidRDefault="002B055E" w:rsidP="002B055E">
      <w:pPr>
        <w:spacing w:after="0" w:line="240" w:lineRule="auto"/>
        <w:ind w:left="567" w:right="616"/>
        <w:jc w:val="both"/>
        <w:rPr>
          <w:rFonts w:ascii="Palatino Linotype" w:eastAsia="Times New Roman" w:hAnsi="Palatino Linotype" w:cs="Arial"/>
          <w:bCs/>
          <w:i/>
          <w:noProof/>
          <w:sz w:val="20"/>
          <w:szCs w:val="20"/>
          <w:lang w:val="es-ES" w:eastAsia="es-ES"/>
        </w:rPr>
      </w:pPr>
      <w:r w:rsidRPr="00871E5D">
        <w:rPr>
          <w:rFonts w:ascii="Palatino Linotype" w:eastAsia="Times New Roman" w:hAnsi="Palatino Linotype" w:cs="Arial"/>
          <w:bCs/>
          <w:i/>
          <w:noProof/>
          <w:sz w:val="20"/>
          <w:szCs w:val="20"/>
          <w:lang w:val="es-ES" w:eastAsia="es-ES"/>
        </w:rPr>
        <w:t>El formato mencionado deberá estar agregado al expediente electrónico de la solicitud de información pública, en el estatus respectivo.</w:t>
      </w:r>
      <w:r w:rsidRPr="00871E5D">
        <w:rPr>
          <w:rFonts w:ascii="Palatino Linotype" w:eastAsia="Times New Roman" w:hAnsi="Palatino Linotype" w:cs="Arial"/>
          <w:b/>
          <w:bCs/>
          <w:i/>
          <w:noProof/>
          <w:sz w:val="20"/>
          <w:szCs w:val="20"/>
          <w:lang w:val="es-ES" w:eastAsia="es-ES"/>
        </w:rPr>
        <w:t>”</w:t>
      </w:r>
    </w:p>
    <w:p w:rsidR="002B055E" w:rsidRPr="00871E5D" w:rsidRDefault="002B055E" w:rsidP="002B055E">
      <w:pPr>
        <w:spacing w:after="0" w:line="240" w:lineRule="auto"/>
        <w:ind w:left="567" w:right="616"/>
        <w:jc w:val="both"/>
        <w:rPr>
          <w:rFonts w:ascii="Palatino Linotype" w:eastAsia="Times New Roman" w:hAnsi="Palatino Linotype" w:cs="Arial"/>
          <w:bCs/>
          <w:noProof/>
          <w:sz w:val="20"/>
          <w:szCs w:val="20"/>
          <w:lang w:val="es-ES" w:eastAsia="es-ES"/>
        </w:rPr>
      </w:pPr>
      <w:r w:rsidRPr="00871E5D">
        <w:rPr>
          <w:rFonts w:ascii="Palatino Linotype" w:eastAsia="Times New Roman" w:hAnsi="Palatino Linotype" w:cs="Arial"/>
          <w:bCs/>
          <w:noProof/>
          <w:sz w:val="20"/>
          <w:szCs w:val="20"/>
          <w:lang w:val="es-ES" w:eastAsia="es-ES"/>
        </w:rPr>
        <w:t xml:space="preserve">             </w:t>
      </w:r>
    </w:p>
    <w:p w:rsidR="002B055E" w:rsidRPr="00871E5D" w:rsidRDefault="002B055E" w:rsidP="002B055E">
      <w:pPr>
        <w:spacing w:after="0" w:line="240" w:lineRule="auto"/>
        <w:ind w:left="567" w:right="616"/>
        <w:jc w:val="both"/>
        <w:rPr>
          <w:rFonts w:ascii="Palatino Linotype" w:eastAsia="Times New Roman" w:hAnsi="Palatino Linotype" w:cs="Arial"/>
          <w:bCs/>
          <w:noProof/>
          <w:sz w:val="20"/>
          <w:szCs w:val="20"/>
          <w:lang w:val="es-ES" w:eastAsia="es-ES"/>
        </w:rPr>
      </w:pPr>
      <w:r w:rsidRPr="00871E5D">
        <w:rPr>
          <w:rFonts w:ascii="Palatino Linotype" w:eastAsia="Times New Roman" w:hAnsi="Palatino Linotype" w:cs="Arial"/>
          <w:bCs/>
          <w:noProof/>
          <w:sz w:val="20"/>
          <w:szCs w:val="20"/>
          <w:lang w:val="es-ES" w:eastAsia="es-ES"/>
        </w:rPr>
        <w:t>(Énfasis añadido).</w:t>
      </w:r>
    </w:p>
    <w:p w:rsidR="002B055E" w:rsidRPr="00871E5D" w:rsidRDefault="002B055E" w:rsidP="007D550B">
      <w:pPr>
        <w:spacing w:before="240" w:after="240" w:line="360" w:lineRule="auto"/>
        <w:ind w:right="-3"/>
        <w:jc w:val="both"/>
        <w:rPr>
          <w:rFonts w:ascii="Palatino Linotype" w:eastAsia="Times New Roman" w:hAnsi="Palatino Linotype" w:cs="Arial"/>
          <w:sz w:val="24"/>
          <w:szCs w:val="24"/>
          <w:lang w:val="es-ES" w:eastAsia="es-ES"/>
        </w:rPr>
      </w:pPr>
      <w:r w:rsidRPr="00871E5D">
        <w:rPr>
          <w:rFonts w:ascii="Palatino Linotype" w:eastAsia="Times New Roman" w:hAnsi="Palatino Linotype" w:cs="Arial"/>
          <w:sz w:val="24"/>
          <w:szCs w:val="24"/>
          <w:lang w:val="es-ES" w:eastAsia="es-ES"/>
        </w:rPr>
        <w:t xml:space="preserve">Es así que los Sujetos Obligados deben respetar la forma de entrega de la información elegida por los Recurrentes para la entrega de la información, por lo tanto, si en el caso concreto se eligió a través del correo electrónico personal del peticionario, el titular de la  Unidad de Transparencia debió agregar los archivos electrónicos que contengan la información requerida en la citada modalidad y sólo en caso de imposibilidad técnica, y previo aviso a este Instituto, puede optar por cambiar la modalidad de entrega, lo cual omitió realizar el Sujeto Obligado.  </w:t>
      </w:r>
    </w:p>
    <w:p w:rsidR="002B055E" w:rsidRPr="00871E5D" w:rsidRDefault="002B055E" w:rsidP="002B055E">
      <w:pPr>
        <w:autoSpaceDE w:val="0"/>
        <w:autoSpaceDN w:val="0"/>
        <w:adjustRightInd w:val="0"/>
        <w:spacing w:after="0" w:line="360" w:lineRule="auto"/>
        <w:ind w:right="-3"/>
        <w:jc w:val="both"/>
        <w:rPr>
          <w:rFonts w:ascii="Palatino Linotype" w:hAnsi="Palatino Linotype" w:cs="Bookman Old Style"/>
          <w:sz w:val="24"/>
          <w:szCs w:val="24"/>
        </w:rPr>
      </w:pPr>
      <w:r w:rsidRPr="00871E5D">
        <w:rPr>
          <w:rFonts w:ascii="Palatino Linotype" w:hAnsi="Palatino Linotype" w:cs="Bookman Old Style"/>
          <w:sz w:val="24"/>
          <w:szCs w:val="24"/>
        </w:rPr>
        <w:t>Adicional a lo expuesto es pertinente atender  lo expuesto en la “Relatoría Especial para la Libertad de Expresión Comisión de Derechos Humanos”</w:t>
      </w:r>
      <w:r w:rsidRPr="00871E5D">
        <w:rPr>
          <w:rFonts w:ascii="Palatino Linotype" w:hAnsi="Palatino Linotype" w:cs="Bookman Old Style"/>
          <w:sz w:val="24"/>
          <w:szCs w:val="24"/>
          <w:vertAlign w:val="superscript"/>
        </w:rPr>
        <w:footnoteReference w:id="2"/>
      </w:r>
      <w:r w:rsidRPr="00871E5D">
        <w:rPr>
          <w:rFonts w:ascii="Palatino Linotype" w:hAnsi="Palatino Linotype" w:cs="Bookman Old Style"/>
          <w:sz w:val="24"/>
          <w:szCs w:val="24"/>
        </w:rPr>
        <w:t>, que en su inciso “b”, punto 13 menciona:</w:t>
      </w:r>
    </w:p>
    <w:p w:rsidR="002B055E" w:rsidRPr="00871E5D" w:rsidRDefault="002B055E" w:rsidP="002B055E">
      <w:pPr>
        <w:autoSpaceDE w:val="0"/>
        <w:autoSpaceDN w:val="0"/>
        <w:adjustRightInd w:val="0"/>
        <w:spacing w:after="0" w:line="240" w:lineRule="auto"/>
        <w:ind w:left="851" w:right="990"/>
        <w:jc w:val="both"/>
        <w:rPr>
          <w:rFonts w:ascii="Palatino Linotype" w:hAnsi="Palatino Linotype" w:cs="Bookman Old Style"/>
          <w:b/>
          <w:i/>
          <w:sz w:val="20"/>
          <w:szCs w:val="20"/>
        </w:rPr>
      </w:pPr>
      <w:r w:rsidRPr="00871E5D">
        <w:rPr>
          <w:rFonts w:ascii="Palatino Linotype" w:hAnsi="Palatino Linotype" w:cs="Bookman Old Style"/>
          <w:i/>
          <w:sz w:val="20"/>
          <w:szCs w:val="20"/>
        </w:rPr>
        <w:t>‘</w:t>
      </w:r>
      <w:r w:rsidRPr="00871E5D">
        <w:rPr>
          <w:rFonts w:ascii="Palatino Linotype" w:hAnsi="Palatino Linotype" w:cs="Bookman Old Style"/>
          <w:b/>
          <w:i/>
          <w:sz w:val="20"/>
          <w:szCs w:val="20"/>
        </w:rPr>
        <w:t>b. Carga de la probatoria para el Estado en caso de establecer limitaciones al derecho de acceso a la información</w:t>
      </w:r>
    </w:p>
    <w:p w:rsidR="002B055E" w:rsidRPr="00871E5D" w:rsidRDefault="002B055E" w:rsidP="002B055E">
      <w:pPr>
        <w:autoSpaceDE w:val="0"/>
        <w:autoSpaceDN w:val="0"/>
        <w:adjustRightInd w:val="0"/>
        <w:spacing w:after="0" w:line="240" w:lineRule="auto"/>
        <w:ind w:left="851" w:right="990"/>
        <w:jc w:val="both"/>
        <w:rPr>
          <w:rFonts w:ascii="Palatino Linotype" w:hAnsi="Palatino Linotype" w:cs="Bookman Old Style"/>
          <w:b/>
          <w:i/>
          <w:sz w:val="20"/>
          <w:szCs w:val="20"/>
        </w:rPr>
      </w:pPr>
    </w:p>
    <w:p w:rsidR="002B055E" w:rsidRPr="00871E5D" w:rsidRDefault="002B055E" w:rsidP="002B055E">
      <w:pPr>
        <w:autoSpaceDE w:val="0"/>
        <w:autoSpaceDN w:val="0"/>
        <w:adjustRightInd w:val="0"/>
        <w:spacing w:after="0" w:line="240" w:lineRule="auto"/>
        <w:ind w:left="851" w:right="990"/>
        <w:jc w:val="both"/>
        <w:rPr>
          <w:rFonts w:ascii="Palatino Linotype" w:hAnsi="Palatino Linotype" w:cs="Bookman Old Style"/>
          <w:i/>
          <w:sz w:val="20"/>
          <w:szCs w:val="20"/>
        </w:rPr>
      </w:pPr>
      <w:r w:rsidRPr="00871E5D">
        <w:rPr>
          <w:rFonts w:ascii="Palatino Linotype" w:hAnsi="Palatino Linotype" w:cs="Bookman Old Style"/>
          <w:i/>
          <w:sz w:val="20"/>
          <w:szCs w:val="20"/>
        </w:rPr>
        <w:t xml:space="preserve">13. La jurisprudencia de la Corte Interamericana ha establecido que e l Estado tiene la carga de la prueba de demostrar que las limitaciones al acceso a la información son compatibles con las normas interamericanas sobre libertad de expresión. Así También lo </w:t>
      </w:r>
      <w:r w:rsidRPr="00871E5D">
        <w:rPr>
          <w:rFonts w:ascii="Palatino Linotype" w:hAnsi="Palatino Linotype" w:cs="Bookman Old Style"/>
          <w:i/>
          <w:sz w:val="20"/>
          <w:szCs w:val="20"/>
        </w:rPr>
        <w:lastRenderedPageBreak/>
        <w:t xml:space="preserve">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ene le ejercicio del derecho de acceso a la información, pues, al estar la información en control del Estado debe evitarse al máximo la actuación discrecional y arbitraje del mismo en el establecimiento de las restricciones al derecho’      </w:t>
      </w:r>
    </w:p>
    <w:p w:rsidR="002B055E" w:rsidRPr="00871E5D" w:rsidRDefault="002B055E" w:rsidP="002B055E">
      <w:pPr>
        <w:autoSpaceDE w:val="0"/>
        <w:autoSpaceDN w:val="0"/>
        <w:adjustRightInd w:val="0"/>
        <w:spacing w:after="0" w:line="360" w:lineRule="auto"/>
        <w:ind w:right="-3"/>
        <w:jc w:val="both"/>
        <w:rPr>
          <w:rFonts w:ascii="Palatino Linotype" w:hAnsi="Palatino Linotype" w:cs="Bookman Old Style"/>
          <w:sz w:val="20"/>
          <w:szCs w:val="20"/>
        </w:rPr>
      </w:pPr>
      <w:r w:rsidRPr="00871E5D">
        <w:rPr>
          <w:rFonts w:ascii="Palatino Linotype" w:hAnsi="Palatino Linotype" w:cs="Bookman Old Style"/>
          <w:sz w:val="20"/>
          <w:szCs w:val="20"/>
        </w:rPr>
        <w:t xml:space="preserve">  </w:t>
      </w:r>
    </w:p>
    <w:p w:rsidR="002B055E" w:rsidRPr="00871E5D" w:rsidRDefault="002B055E" w:rsidP="002B055E">
      <w:pPr>
        <w:autoSpaceDE w:val="0"/>
        <w:autoSpaceDN w:val="0"/>
        <w:adjustRightInd w:val="0"/>
        <w:spacing w:after="0" w:line="360" w:lineRule="auto"/>
        <w:ind w:right="-3"/>
        <w:jc w:val="both"/>
        <w:rPr>
          <w:rFonts w:ascii="Palatino Linotype" w:hAnsi="Palatino Linotype" w:cs="Bookman Old Style"/>
          <w:sz w:val="24"/>
          <w:szCs w:val="24"/>
        </w:rPr>
      </w:pPr>
      <w:r w:rsidRPr="00871E5D">
        <w:rPr>
          <w:rFonts w:ascii="Palatino Linotype" w:hAnsi="Palatino Linotype" w:cs="Bookman Old Style"/>
          <w:sz w:val="24"/>
          <w:szCs w:val="24"/>
        </w:rPr>
        <w:t xml:space="preserve">Lo anterior, robustece que es el Sujeto Obligado, a quien le fue solicitada la información materia de estudio, quien en todo caso debe demostrar el cambio de modalidad de acceso a la misma, otorgando con ello la debida seguridad jurídica </w:t>
      </w:r>
      <w:r w:rsidR="002908E6" w:rsidRPr="00871E5D">
        <w:rPr>
          <w:rFonts w:ascii="Palatino Linotype" w:hAnsi="Palatino Linotype" w:cs="Bookman Old Style"/>
          <w:sz w:val="24"/>
          <w:szCs w:val="24"/>
        </w:rPr>
        <w:t xml:space="preserve">a </w:t>
      </w:r>
      <w:r w:rsidRPr="00871E5D">
        <w:rPr>
          <w:rFonts w:ascii="Palatino Linotype" w:hAnsi="Palatino Linotype" w:cs="Bookman Old Style"/>
          <w:sz w:val="24"/>
          <w:szCs w:val="24"/>
        </w:rPr>
        <w:t xml:space="preserve">todo gobernado y con ello la garantía del derecho humano de acceso a la información pública al hoy Recurrente.  </w:t>
      </w:r>
    </w:p>
    <w:p w:rsidR="002B055E" w:rsidRPr="00871E5D" w:rsidRDefault="002B055E" w:rsidP="002B055E">
      <w:pPr>
        <w:spacing w:after="0" w:line="240" w:lineRule="auto"/>
        <w:ind w:right="-91"/>
        <w:jc w:val="both"/>
        <w:rPr>
          <w:rFonts w:ascii="Palatino Linotype" w:hAnsi="Palatino Linotype"/>
          <w:sz w:val="24"/>
          <w:szCs w:val="24"/>
        </w:rPr>
      </w:pPr>
    </w:p>
    <w:p w:rsidR="002B055E" w:rsidRPr="00871E5D" w:rsidRDefault="002B055E" w:rsidP="002B055E">
      <w:pPr>
        <w:spacing w:line="360" w:lineRule="auto"/>
        <w:ind w:right="-93"/>
        <w:jc w:val="both"/>
        <w:rPr>
          <w:rFonts w:ascii="Palatino Linotype" w:hAnsi="Palatino Linotype"/>
          <w:sz w:val="24"/>
          <w:szCs w:val="24"/>
        </w:rPr>
      </w:pPr>
      <w:r w:rsidRPr="00871E5D">
        <w:rPr>
          <w:rFonts w:ascii="Palatino Linotype" w:hAnsi="Palatino Linotype"/>
          <w:sz w:val="24"/>
          <w:szCs w:val="24"/>
        </w:rPr>
        <w:t xml:space="preserve">Lo anterior, son razones suficientes para la emisión y presentación del presente Voto Particular </w:t>
      </w:r>
      <w:r w:rsidR="002908E6" w:rsidRPr="00871E5D">
        <w:rPr>
          <w:rFonts w:ascii="Palatino Linotype" w:hAnsi="Palatino Linotype"/>
          <w:sz w:val="24"/>
          <w:szCs w:val="24"/>
        </w:rPr>
        <w:t xml:space="preserve"> Concurrente </w:t>
      </w:r>
      <w:r w:rsidRPr="00871E5D">
        <w:rPr>
          <w:rFonts w:ascii="Palatino Linotype" w:hAnsi="Palatino Linotype"/>
          <w:sz w:val="24"/>
          <w:szCs w:val="24"/>
        </w:rPr>
        <w:t xml:space="preserve">relacionado con la resolución del recurso de revisión referido. </w:t>
      </w:r>
    </w:p>
    <w:p w:rsidR="00456467" w:rsidRPr="00871E5D" w:rsidRDefault="00456467" w:rsidP="000607BA">
      <w:pPr>
        <w:spacing w:after="0" w:line="360" w:lineRule="auto"/>
        <w:jc w:val="both"/>
        <w:rPr>
          <w:rFonts w:ascii="Palatino Linotype" w:hAnsi="Palatino Linotype"/>
          <w:sz w:val="24"/>
          <w:szCs w:val="24"/>
        </w:rPr>
      </w:pPr>
    </w:p>
    <w:p w:rsidR="00456467" w:rsidRPr="00871E5D" w:rsidRDefault="00456467" w:rsidP="000607BA">
      <w:pPr>
        <w:spacing w:after="0" w:line="360" w:lineRule="auto"/>
        <w:jc w:val="both"/>
        <w:rPr>
          <w:rFonts w:ascii="Palatino Linotype" w:hAnsi="Palatino Linotype"/>
          <w:sz w:val="24"/>
          <w:szCs w:val="24"/>
        </w:rPr>
      </w:pPr>
    </w:p>
    <w:p w:rsidR="00456467" w:rsidRPr="00871E5D" w:rsidRDefault="00456467" w:rsidP="000607BA">
      <w:pPr>
        <w:spacing w:after="0" w:line="360" w:lineRule="auto"/>
        <w:jc w:val="both"/>
        <w:rPr>
          <w:rFonts w:ascii="Palatino Linotype" w:hAnsi="Palatino Linotype"/>
          <w:sz w:val="24"/>
          <w:szCs w:val="24"/>
        </w:rPr>
      </w:pPr>
    </w:p>
    <w:p w:rsidR="006F346D" w:rsidRPr="00871E5D" w:rsidRDefault="006F346D" w:rsidP="000607BA">
      <w:pPr>
        <w:spacing w:after="0" w:line="360" w:lineRule="auto"/>
        <w:jc w:val="both"/>
        <w:rPr>
          <w:rFonts w:ascii="Palatino Linotype" w:hAnsi="Palatino Linotype"/>
          <w:sz w:val="24"/>
          <w:szCs w:val="24"/>
        </w:rPr>
      </w:pPr>
    </w:p>
    <w:p w:rsidR="005777C1" w:rsidRPr="00871E5D" w:rsidRDefault="00EC51BA" w:rsidP="00EC51BA">
      <w:pPr>
        <w:spacing w:after="0" w:line="360" w:lineRule="auto"/>
        <w:rPr>
          <w:rFonts w:ascii="Palatino Linotype" w:hAnsi="Palatino Linotype"/>
          <w:b/>
          <w:sz w:val="24"/>
          <w:szCs w:val="24"/>
        </w:rPr>
      </w:pPr>
      <w:r w:rsidRPr="00871E5D">
        <w:rPr>
          <w:rFonts w:ascii="Palatino Linotype" w:hAnsi="Palatino Linotype"/>
          <w:sz w:val="24"/>
          <w:szCs w:val="24"/>
        </w:rPr>
        <w:t xml:space="preserve">       </w:t>
      </w:r>
      <w:r w:rsidRPr="00871E5D">
        <w:rPr>
          <w:rFonts w:ascii="Palatino Linotype" w:hAnsi="Palatino Linotype"/>
          <w:b/>
          <w:sz w:val="24"/>
          <w:szCs w:val="24"/>
        </w:rPr>
        <w:t xml:space="preserve">Zulema Martínez Sánchez                        </w:t>
      </w:r>
      <w:r w:rsidR="00451E96" w:rsidRPr="00871E5D">
        <w:rPr>
          <w:rFonts w:ascii="Palatino Linotype" w:hAnsi="Palatino Linotype"/>
          <w:b/>
          <w:sz w:val="24"/>
          <w:szCs w:val="24"/>
        </w:rPr>
        <w:t xml:space="preserve">Javier Martínez Cruz                      </w:t>
      </w:r>
      <w:r w:rsidR="005777C1" w:rsidRPr="00871E5D">
        <w:rPr>
          <w:rFonts w:ascii="Palatino Linotype" w:hAnsi="Palatino Linotype"/>
          <w:b/>
          <w:sz w:val="24"/>
          <w:szCs w:val="24"/>
        </w:rPr>
        <w:t xml:space="preserve">                   </w:t>
      </w:r>
    </w:p>
    <w:p w:rsidR="00EC51BA" w:rsidRPr="00871E5D" w:rsidRDefault="00EC51BA" w:rsidP="00EC51BA">
      <w:pPr>
        <w:tabs>
          <w:tab w:val="left" w:pos="6147"/>
        </w:tabs>
        <w:spacing w:after="0" w:line="276" w:lineRule="auto"/>
        <w:rPr>
          <w:rFonts w:ascii="Palatino Linotype" w:hAnsi="Palatino Linotype"/>
          <w:b/>
          <w:sz w:val="24"/>
          <w:szCs w:val="24"/>
        </w:rPr>
      </w:pPr>
      <w:r w:rsidRPr="00871E5D">
        <w:rPr>
          <w:rFonts w:ascii="Palatino Linotype" w:hAnsi="Palatino Linotype"/>
          <w:b/>
          <w:sz w:val="24"/>
          <w:szCs w:val="24"/>
        </w:rPr>
        <w:t xml:space="preserve">           Comisionada Presidenta             </w:t>
      </w:r>
      <w:r w:rsidR="003D3AA0">
        <w:rPr>
          <w:rFonts w:ascii="Palatino Linotype" w:hAnsi="Palatino Linotype"/>
          <w:b/>
          <w:sz w:val="24"/>
          <w:szCs w:val="24"/>
        </w:rPr>
        <w:t xml:space="preserve">                </w:t>
      </w:r>
      <w:r w:rsidRPr="00871E5D">
        <w:rPr>
          <w:rFonts w:ascii="Palatino Linotype" w:hAnsi="Palatino Linotype"/>
          <w:b/>
          <w:sz w:val="24"/>
          <w:szCs w:val="24"/>
        </w:rPr>
        <w:t>Comisionado</w:t>
      </w:r>
    </w:p>
    <w:p w:rsidR="000607BA" w:rsidRDefault="0044634E" w:rsidP="0044634E">
      <w:pPr>
        <w:tabs>
          <w:tab w:val="left" w:pos="1180"/>
        </w:tabs>
        <w:spacing w:after="0" w:line="360" w:lineRule="auto"/>
        <w:jc w:val="both"/>
        <w:rPr>
          <w:rFonts w:ascii="Palatino Linotype" w:hAnsi="Palatino Linotype"/>
          <w:sz w:val="24"/>
          <w:szCs w:val="24"/>
        </w:rPr>
      </w:pPr>
      <w:r w:rsidRPr="00871E5D">
        <w:rPr>
          <w:rFonts w:ascii="Palatino Linotype" w:hAnsi="Palatino Linotype"/>
          <w:sz w:val="24"/>
          <w:szCs w:val="24"/>
        </w:rPr>
        <w:tab/>
      </w:r>
      <w:bookmarkStart w:id="0" w:name="_GoBack"/>
      <w:bookmarkEnd w:id="0"/>
      <w:r w:rsidR="003D3AA0">
        <w:rPr>
          <w:rFonts w:ascii="Palatino Linotype" w:hAnsi="Palatino Linotype"/>
          <w:sz w:val="24"/>
          <w:szCs w:val="24"/>
        </w:rPr>
        <w:tab/>
      </w:r>
      <w:r w:rsidR="003D3AA0">
        <w:rPr>
          <w:rFonts w:ascii="Palatino Linotype" w:hAnsi="Palatino Linotype"/>
          <w:sz w:val="24"/>
          <w:szCs w:val="24"/>
        </w:rPr>
        <w:tab/>
      </w:r>
      <w:r w:rsidR="003D3AA0">
        <w:rPr>
          <w:rFonts w:ascii="Palatino Linotype" w:hAnsi="Palatino Linotype"/>
          <w:sz w:val="24"/>
          <w:szCs w:val="24"/>
        </w:rPr>
        <w:tab/>
        <w:t xml:space="preserve">                 </w:t>
      </w:r>
      <w:r w:rsidR="002908E6" w:rsidRPr="00871E5D">
        <w:rPr>
          <w:rFonts w:ascii="Palatino Linotype" w:hAnsi="Palatino Linotype"/>
          <w:sz w:val="24"/>
          <w:szCs w:val="24"/>
        </w:rPr>
        <w:tab/>
      </w:r>
      <w:r w:rsidR="002908E6">
        <w:rPr>
          <w:rFonts w:ascii="Palatino Linotype" w:hAnsi="Palatino Linotype"/>
          <w:sz w:val="24"/>
          <w:szCs w:val="24"/>
        </w:rPr>
        <w:tab/>
      </w:r>
      <w:r w:rsidR="002908E6">
        <w:rPr>
          <w:rFonts w:ascii="Palatino Linotype" w:hAnsi="Palatino Linotype"/>
          <w:sz w:val="24"/>
          <w:szCs w:val="24"/>
        </w:rPr>
        <w:tab/>
      </w:r>
    </w:p>
    <w:p w:rsidR="00897E24" w:rsidRPr="003F3117" w:rsidRDefault="00897E24" w:rsidP="000607BA">
      <w:pPr>
        <w:spacing w:after="0" w:line="360" w:lineRule="auto"/>
        <w:jc w:val="both"/>
        <w:rPr>
          <w:rFonts w:ascii="Palatino Linotype" w:hAnsi="Palatino Linotype"/>
          <w:sz w:val="24"/>
          <w:szCs w:val="24"/>
        </w:rPr>
      </w:pPr>
    </w:p>
    <w:sectPr w:rsidR="00897E24" w:rsidRPr="003F3117"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9B3" w:rsidRDefault="002E09B3" w:rsidP="00907451">
      <w:pPr>
        <w:spacing w:after="0" w:line="240" w:lineRule="auto"/>
      </w:pPr>
      <w:r>
        <w:separator/>
      </w:r>
    </w:p>
  </w:endnote>
  <w:endnote w:type="continuationSeparator" w:id="0">
    <w:p w:rsidR="002E09B3" w:rsidRDefault="002E09B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40E1">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40E1">
      <w:rPr>
        <w:rFonts w:ascii="Arial" w:hAnsi="Arial" w:cs="Arial"/>
        <w:b/>
        <w:bCs/>
        <w:noProof/>
        <w:sz w:val="20"/>
        <w:szCs w:val="20"/>
      </w:rPr>
      <w:t>9</w:t>
    </w:r>
    <w:r w:rsidRPr="00986599">
      <w:rPr>
        <w:rFonts w:ascii="Arial" w:hAnsi="Arial" w:cs="Arial"/>
        <w:b/>
        <w:bCs/>
        <w:sz w:val="20"/>
        <w:szCs w:val="20"/>
      </w:rPr>
      <w:fldChar w:fldCharType="end"/>
    </w:r>
  </w:p>
  <w:p w:rsidR="00D758BE" w:rsidRDefault="002E09B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9B3" w:rsidRDefault="002E09B3" w:rsidP="00907451">
      <w:pPr>
        <w:spacing w:after="0" w:line="240" w:lineRule="auto"/>
      </w:pPr>
      <w:r>
        <w:separator/>
      </w:r>
    </w:p>
  </w:footnote>
  <w:footnote w:type="continuationSeparator" w:id="0">
    <w:p w:rsidR="002E09B3" w:rsidRDefault="002E09B3" w:rsidP="00907451">
      <w:pPr>
        <w:spacing w:after="0" w:line="240" w:lineRule="auto"/>
      </w:pPr>
      <w:r>
        <w:continuationSeparator/>
      </w:r>
    </w:p>
  </w:footnote>
  <w:footnote w:id="1">
    <w:p w:rsidR="002B055E" w:rsidRDefault="002B055E" w:rsidP="002B055E">
      <w:pPr>
        <w:pStyle w:val="Textonotapie"/>
        <w:jc w:val="both"/>
        <w:rPr>
          <w:rFonts w:ascii="Palatino Linotype" w:hAnsi="Palatino Linotype"/>
          <w:i/>
        </w:rPr>
      </w:pPr>
      <w:r>
        <w:rPr>
          <w:rStyle w:val="Refdenotaalpie"/>
        </w:rPr>
        <w:footnoteRef/>
      </w:r>
      <w:r>
        <w:t xml:space="preserve"> </w:t>
      </w:r>
      <w:r w:rsidRPr="00AF6ED9">
        <w:rPr>
          <w:rFonts w:ascii="Palatino Linotype" w:hAnsi="Palatino Linotype"/>
          <w:i/>
        </w:rPr>
        <w:t xml:space="preserve">Publicados en el Periódico Oficial “Gaceta del Gobierno” del Estado de México, el </w:t>
      </w:r>
      <w:r>
        <w:rPr>
          <w:rFonts w:ascii="Palatino Linotype" w:hAnsi="Palatino Linotype"/>
          <w:i/>
        </w:rPr>
        <w:t>30</w:t>
      </w:r>
      <w:r w:rsidRPr="00AF6ED9">
        <w:rPr>
          <w:rFonts w:ascii="Palatino Linotype" w:hAnsi="Palatino Linotype"/>
          <w:i/>
        </w:rPr>
        <w:t xml:space="preserve"> de octubre de</w:t>
      </w:r>
      <w:r>
        <w:rPr>
          <w:rFonts w:ascii="Palatino Linotype" w:hAnsi="Palatino Linotype"/>
          <w:i/>
        </w:rPr>
        <w:t xml:space="preserve"> 2018.</w:t>
      </w:r>
    </w:p>
    <w:p w:rsidR="002B055E" w:rsidRDefault="002B055E" w:rsidP="002B055E">
      <w:pPr>
        <w:pStyle w:val="Textonotapie"/>
        <w:jc w:val="both"/>
      </w:pPr>
      <w:r>
        <w:rPr>
          <w:rFonts w:ascii="Palatino Linotype" w:hAnsi="Palatino Linotype"/>
          <w:i/>
        </w:rPr>
        <w:t>Cabe destacar que el lineamiento citado refiere al SICOSIEM (Sistema de Control de Solicitudes de Información del Estado de México), no obstante, el sistema actual se denomina SAIMEX (Sistema de Acceso a la Información Mexiquense).</w:t>
      </w:r>
    </w:p>
  </w:footnote>
  <w:footnote w:id="2">
    <w:p w:rsidR="002B055E" w:rsidRPr="00BA45EA" w:rsidRDefault="002B055E" w:rsidP="002B055E">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“El derecho de acceso a la información en</w:t>
      </w:r>
      <w:r>
        <w:rPr>
          <w:rFonts w:ascii="Palatino Linotype" w:hAnsi="Palatino Linotype"/>
          <w:i/>
        </w:rPr>
        <w:t xml:space="preserve"> </w:t>
      </w:r>
      <w:r w:rsidRPr="00BA45EA">
        <w:rPr>
          <w:rFonts w:ascii="Palatino Linotype" w:hAnsi="Palatino Linotype"/>
          <w:i/>
        </w:rPr>
        <w:t>el marco jurídico interamericano”.</w:t>
      </w:r>
      <w:r>
        <w:t xml:space="preserve"> </w:t>
      </w:r>
      <w:r w:rsidRPr="00BA45EA">
        <w:rPr>
          <w:rFonts w:ascii="Palatino Linotype" w:hAnsi="Palatino Linotype" w:cs="Bookman Old Style"/>
          <w:i/>
        </w:rPr>
        <w:t>Relatoría Especial para la Libertad de Expresión Comisión de Derechos Humanos</w:t>
      </w:r>
      <w:r>
        <w:rPr>
          <w:rFonts w:ascii="Palatino Linotype" w:hAnsi="Palatino Linotype" w:cs="Bookman Old Style"/>
          <w:i/>
        </w:rPr>
        <w:t>.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E09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2E09B3"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2E09B3"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2B055E" w:rsidRPr="002B055E">
      <w:rPr>
        <w:rFonts w:ascii="Palatino Linotype" w:eastAsia="Calibri" w:hAnsi="Palatino Linotype" w:cs="Tahoma"/>
        <w:b/>
        <w:bCs/>
        <w:sz w:val="22"/>
        <w:szCs w:val="22"/>
        <w:lang w:eastAsia="en-US"/>
      </w:rPr>
      <w:t>04106/INFOEM/IP/RR/2018</w:t>
    </w:r>
  </w:p>
  <w:p w:rsidR="00D758BE" w:rsidRDefault="002E09B3" w:rsidP="007263BB">
    <w:pPr>
      <w:pStyle w:val="Encabezado"/>
      <w:jc w:val="right"/>
      <w:rPr>
        <w:rFonts w:ascii="Palatino Linotype" w:hAnsi="Palatino Linotype" w:cs="Arial"/>
        <w:sz w:val="20"/>
        <w:szCs w:val="20"/>
      </w:rPr>
    </w:pPr>
  </w:p>
  <w:p w:rsidR="00233AB2" w:rsidRDefault="002E09B3"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E09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344CC"/>
    <w:multiLevelType w:val="hybridMultilevel"/>
    <w:tmpl w:val="2A4C1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F1527F"/>
    <w:multiLevelType w:val="hybridMultilevel"/>
    <w:tmpl w:val="172C680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14F2F86"/>
    <w:multiLevelType w:val="hybridMultilevel"/>
    <w:tmpl w:val="C90450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7747085"/>
    <w:multiLevelType w:val="hybridMultilevel"/>
    <w:tmpl w:val="C9100F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45141"/>
    <w:rsid w:val="00057319"/>
    <w:rsid w:val="000607BA"/>
    <w:rsid w:val="00065C56"/>
    <w:rsid w:val="000906EA"/>
    <w:rsid w:val="000C74C1"/>
    <w:rsid w:val="00155046"/>
    <w:rsid w:val="00156565"/>
    <w:rsid w:val="001822F4"/>
    <w:rsid w:val="001A0FF5"/>
    <w:rsid w:val="001C55E5"/>
    <w:rsid w:val="001D6690"/>
    <w:rsid w:val="00245DCD"/>
    <w:rsid w:val="002501C9"/>
    <w:rsid w:val="00265A6C"/>
    <w:rsid w:val="002908E6"/>
    <w:rsid w:val="00292B73"/>
    <w:rsid w:val="00292D40"/>
    <w:rsid w:val="002A5ADD"/>
    <w:rsid w:val="002A6359"/>
    <w:rsid w:val="002A68DB"/>
    <w:rsid w:val="002B055E"/>
    <w:rsid w:val="002E09B3"/>
    <w:rsid w:val="003A6F52"/>
    <w:rsid w:val="003D3AA0"/>
    <w:rsid w:val="003F066F"/>
    <w:rsid w:val="0044634E"/>
    <w:rsid w:val="00451E96"/>
    <w:rsid w:val="00456467"/>
    <w:rsid w:val="00475CF8"/>
    <w:rsid w:val="00505F5A"/>
    <w:rsid w:val="005220CF"/>
    <w:rsid w:val="005549ED"/>
    <w:rsid w:val="005777C1"/>
    <w:rsid w:val="005F4C0C"/>
    <w:rsid w:val="006214D7"/>
    <w:rsid w:val="006440E1"/>
    <w:rsid w:val="006C34A1"/>
    <w:rsid w:val="006C470E"/>
    <w:rsid w:val="006E048C"/>
    <w:rsid w:val="006F346D"/>
    <w:rsid w:val="007105AE"/>
    <w:rsid w:val="007A42B3"/>
    <w:rsid w:val="007B6EE5"/>
    <w:rsid w:val="007D550B"/>
    <w:rsid w:val="00871E5D"/>
    <w:rsid w:val="00892DF4"/>
    <w:rsid w:val="00897E24"/>
    <w:rsid w:val="008A4206"/>
    <w:rsid w:val="00907451"/>
    <w:rsid w:val="00936FC7"/>
    <w:rsid w:val="00956FEF"/>
    <w:rsid w:val="009611D3"/>
    <w:rsid w:val="009B6B15"/>
    <w:rsid w:val="009C140C"/>
    <w:rsid w:val="00A01E1E"/>
    <w:rsid w:val="00A21005"/>
    <w:rsid w:val="00A62E74"/>
    <w:rsid w:val="00A6376A"/>
    <w:rsid w:val="00B02DEB"/>
    <w:rsid w:val="00B300D4"/>
    <w:rsid w:val="00B438A9"/>
    <w:rsid w:val="00B547F4"/>
    <w:rsid w:val="00B64C32"/>
    <w:rsid w:val="00B863D5"/>
    <w:rsid w:val="00B95ED4"/>
    <w:rsid w:val="00C44E15"/>
    <w:rsid w:val="00C908ED"/>
    <w:rsid w:val="00C9164A"/>
    <w:rsid w:val="00D32E4F"/>
    <w:rsid w:val="00D3561E"/>
    <w:rsid w:val="00D53061"/>
    <w:rsid w:val="00DA32D9"/>
    <w:rsid w:val="00DC752B"/>
    <w:rsid w:val="00E20299"/>
    <w:rsid w:val="00E30FFD"/>
    <w:rsid w:val="00E6229C"/>
    <w:rsid w:val="00E920D4"/>
    <w:rsid w:val="00EC51BA"/>
    <w:rsid w:val="00F24291"/>
    <w:rsid w:val="00F307C5"/>
    <w:rsid w:val="00F466F2"/>
    <w:rsid w:val="00F76B05"/>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B05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B05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B055E"/>
    <w:rPr>
      <w:vertAlign w:val="superscript"/>
    </w:rPr>
  </w:style>
  <w:style w:type="table" w:styleId="Tablaconcuadrcula">
    <w:name w:val="Table Grid"/>
    <w:basedOn w:val="Tablanormal"/>
    <w:uiPriority w:val="39"/>
    <w:rsid w:val="002B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7605483-CBD4-44AE-9094-41CF8EF9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1982</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2019-01-21T19:43:00Z</cp:lastPrinted>
  <dcterms:created xsi:type="dcterms:W3CDTF">2019-01-18T16:20:00Z</dcterms:created>
  <dcterms:modified xsi:type="dcterms:W3CDTF">2019-01-21T19:47:00Z</dcterms:modified>
</cp:coreProperties>
</file>